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00" w:lineRule="exact"/>
        <w:ind w:left="0"/>
        <w:jc w:val="distribute"/>
        <w:textAlignment w:val="baseline"/>
        <w:rPr>
          <w:rFonts w:hint="eastAsia" w:ascii="方正公文小标宋" w:hAnsi="方正公文小标宋" w:eastAsia="方正公文小标宋" w:cs="方正公文小标宋"/>
          <w:b w:val="0"/>
          <w:bCs w:val="0"/>
          <w:color w:val="FB3200"/>
          <w:spacing w:val="0"/>
          <w:w w:val="75"/>
          <w:sz w:val="112"/>
          <w:szCs w:val="112"/>
          <w:lang w:eastAsia="zh-CN"/>
        </w:rPr>
      </w:pPr>
    </w:p>
    <w:p>
      <w:pPr>
        <w:keepNext w:val="0"/>
        <w:keepLines w:val="0"/>
        <w:pageBreakBefore w:val="0"/>
        <w:widowControl/>
        <w:kinsoku w:val="0"/>
        <w:wordWrap/>
        <w:overflowPunct/>
        <w:topLinePunct w:val="0"/>
        <w:autoSpaceDE w:val="0"/>
        <w:autoSpaceDN w:val="0"/>
        <w:bidi w:val="0"/>
        <w:adjustRightInd w:val="0"/>
        <w:snapToGrid w:val="0"/>
        <w:spacing w:line="1200" w:lineRule="exact"/>
        <w:ind w:left="0"/>
        <w:jc w:val="distribute"/>
        <w:textAlignment w:val="baseline"/>
        <w:rPr>
          <w:rFonts w:hint="eastAsia" w:ascii="方正公文小标宋" w:hAnsi="方正公文小标宋" w:eastAsia="方正公文小标宋" w:cs="方正公文小标宋"/>
          <w:b w:val="0"/>
          <w:bCs w:val="0"/>
          <w:color w:val="FF0000"/>
          <w:spacing w:val="0"/>
          <w:w w:val="75"/>
          <w:sz w:val="100"/>
          <w:szCs w:val="100"/>
        </w:rPr>
      </w:pPr>
      <w:r>
        <w:rPr>
          <w:rFonts w:hint="eastAsia" w:ascii="方正公文小标宋" w:hAnsi="方正公文小标宋" w:eastAsia="方正公文小标宋" w:cs="方正公文小标宋"/>
          <w:b w:val="0"/>
          <w:bCs w:val="0"/>
          <w:color w:val="FF0000"/>
          <w:spacing w:val="0"/>
          <w:w w:val="75"/>
          <w:sz w:val="100"/>
          <w:szCs w:val="100"/>
          <w:lang w:eastAsia="zh-CN"/>
        </w:rPr>
        <w:t>启</w:t>
      </w:r>
      <w:r>
        <w:rPr>
          <w:rFonts w:hint="eastAsia" w:ascii="方正公文小标宋" w:hAnsi="方正公文小标宋" w:eastAsia="方正公文小标宋" w:cs="方正公文小标宋"/>
          <w:b w:val="0"/>
          <w:bCs w:val="0"/>
          <w:color w:val="FF0000"/>
          <w:spacing w:val="0"/>
          <w:w w:val="75"/>
          <w:sz w:val="100"/>
          <w:szCs w:val="100"/>
        </w:rPr>
        <w:t>东</w:t>
      </w:r>
      <w:r>
        <w:rPr>
          <w:rFonts w:hint="eastAsia" w:ascii="方正公文小标宋" w:hAnsi="方正公文小标宋" w:eastAsia="方正公文小标宋" w:cs="方正公文小标宋"/>
          <w:b w:val="0"/>
          <w:bCs w:val="0"/>
          <w:color w:val="FF0000"/>
          <w:spacing w:val="0"/>
          <w:w w:val="75"/>
          <w:sz w:val="100"/>
          <w:szCs w:val="100"/>
          <w:lang w:eastAsia="zh-CN"/>
        </w:rPr>
        <w:t>市</w:t>
      </w:r>
      <w:r>
        <w:rPr>
          <w:rFonts w:hint="eastAsia" w:ascii="方正公文小标宋" w:hAnsi="方正公文小标宋" w:eastAsia="方正公文小标宋" w:cs="方正公文小标宋"/>
          <w:b w:val="0"/>
          <w:bCs w:val="0"/>
          <w:color w:val="FF0000"/>
          <w:spacing w:val="0"/>
          <w:w w:val="75"/>
          <w:sz w:val="100"/>
          <w:szCs w:val="100"/>
        </w:rPr>
        <w:t>民政局</w:t>
      </w:r>
    </w:p>
    <w:p>
      <w:pPr>
        <w:keepNext w:val="0"/>
        <w:keepLines w:val="0"/>
        <w:pageBreakBefore w:val="0"/>
        <w:widowControl/>
        <w:kinsoku w:val="0"/>
        <w:wordWrap/>
        <w:overflowPunct/>
        <w:topLinePunct w:val="0"/>
        <w:autoSpaceDE w:val="0"/>
        <w:autoSpaceDN w:val="0"/>
        <w:bidi w:val="0"/>
        <w:adjustRightInd w:val="0"/>
        <w:snapToGrid w:val="0"/>
        <w:spacing w:line="1200" w:lineRule="exact"/>
        <w:ind w:left="0"/>
        <w:jc w:val="distribute"/>
        <w:textAlignment w:val="baseline"/>
        <w:rPr>
          <w:rFonts w:hint="eastAsia" w:ascii="方正公文小标宋" w:hAnsi="方正公文小标宋" w:eastAsia="方正公文小标宋" w:cs="方正公文小标宋"/>
          <w:b w:val="0"/>
          <w:bCs w:val="0"/>
          <w:color w:val="FF0000"/>
          <w:spacing w:val="-113"/>
          <w:w w:val="50"/>
          <w:sz w:val="100"/>
          <w:szCs w:val="100"/>
        </w:rPr>
      </w:pPr>
      <w:r>
        <w:rPr>
          <w:rFonts w:hint="eastAsia" w:ascii="方正公文小标宋" w:hAnsi="方正公文小标宋" w:eastAsia="方正公文小标宋" w:cs="方正公文小标宋"/>
          <w:b w:val="0"/>
          <w:bCs w:val="0"/>
          <w:color w:val="FF0000"/>
          <w:spacing w:val="-113"/>
          <w:w w:val="50"/>
          <w:sz w:val="100"/>
          <w:szCs w:val="100"/>
        </w:rPr>
        <w:t>中共</w:t>
      </w:r>
      <w:r>
        <w:rPr>
          <w:rFonts w:hint="eastAsia" w:ascii="方正公文小标宋" w:hAnsi="方正公文小标宋" w:eastAsia="方正公文小标宋" w:cs="方正公文小标宋"/>
          <w:b w:val="0"/>
          <w:bCs w:val="0"/>
          <w:color w:val="FF0000"/>
          <w:spacing w:val="-113"/>
          <w:w w:val="50"/>
          <w:sz w:val="100"/>
          <w:szCs w:val="100"/>
          <w:lang w:eastAsia="zh-CN"/>
        </w:rPr>
        <w:t>启东市</w:t>
      </w:r>
      <w:r>
        <w:rPr>
          <w:rFonts w:hint="eastAsia" w:ascii="方正公文小标宋" w:hAnsi="方正公文小标宋" w:eastAsia="方正公文小标宋" w:cs="方正公文小标宋"/>
          <w:b w:val="0"/>
          <w:bCs w:val="0"/>
          <w:color w:val="FF0000"/>
          <w:spacing w:val="-113"/>
          <w:w w:val="50"/>
          <w:sz w:val="100"/>
          <w:szCs w:val="100"/>
        </w:rPr>
        <w:t>委农村工作领导小组办公室</w:t>
      </w:r>
    </w:p>
    <w:p>
      <w:pPr>
        <w:keepNext w:val="0"/>
        <w:keepLines w:val="0"/>
        <w:pageBreakBefore w:val="0"/>
        <w:widowControl/>
        <w:kinsoku w:val="0"/>
        <w:wordWrap/>
        <w:overflowPunct/>
        <w:topLinePunct w:val="0"/>
        <w:autoSpaceDE w:val="0"/>
        <w:autoSpaceDN w:val="0"/>
        <w:bidi w:val="0"/>
        <w:adjustRightInd w:val="0"/>
        <w:snapToGrid w:val="0"/>
        <w:spacing w:line="1200" w:lineRule="exact"/>
        <w:ind w:left="0"/>
        <w:jc w:val="distribute"/>
        <w:textAlignment w:val="baseline"/>
        <w:rPr>
          <w:rFonts w:hint="eastAsia" w:ascii="方正公文小标宋" w:hAnsi="方正公文小标宋" w:eastAsia="方正公文小标宋" w:cs="方正公文小标宋"/>
          <w:b w:val="0"/>
          <w:bCs w:val="0"/>
          <w:color w:val="FF0000"/>
          <w:spacing w:val="0"/>
          <w:position w:val="0"/>
          <w:sz w:val="100"/>
          <w:szCs w:val="100"/>
        </w:rPr>
      </w:pPr>
      <w:r>
        <w:rPr>
          <w:rFonts w:hint="eastAsia" w:ascii="方正公文小标宋" w:hAnsi="方正公文小标宋" w:eastAsia="方正公文小标宋" w:cs="方正公文小标宋"/>
          <w:b w:val="0"/>
          <w:bCs w:val="0"/>
          <w:color w:val="FF0000"/>
          <w:spacing w:val="0"/>
          <w:w w:val="75"/>
          <w:position w:val="0"/>
          <w:sz w:val="100"/>
          <w:szCs w:val="100"/>
          <w:lang w:eastAsia="zh-CN"/>
        </w:rPr>
        <w:t>启</w:t>
      </w:r>
      <w:r>
        <w:rPr>
          <w:rFonts w:hint="eastAsia" w:ascii="方正公文小标宋" w:hAnsi="方正公文小标宋" w:eastAsia="方正公文小标宋" w:cs="方正公文小标宋"/>
          <w:b w:val="0"/>
          <w:bCs w:val="0"/>
          <w:color w:val="FF0000"/>
          <w:spacing w:val="0"/>
          <w:w w:val="75"/>
          <w:position w:val="0"/>
          <w:sz w:val="100"/>
          <w:szCs w:val="100"/>
        </w:rPr>
        <w:t>东</w:t>
      </w:r>
      <w:r>
        <w:rPr>
          <w:rFonts w:hint="eastAsia" w:ascii="方正公文小标宋" w:hAnsi="方正公文小标宋" w:eastAsia="方正公文小标宋" w:cs="方正公文小标宋"/>
          <w:b w:val="0"/>
          <w:bCs w:val="0"/>
          <w:color w:val="FF0000"/>
          <w:spacing w:val="0"/>
          <w:w w:val="75"/>
          <w:position w:val="0"/>
          <w:sz w:val="100"/>
          <w:szCs w:val="100"/>
          <w:lang w:eastAsia="zh-CN"/>
        </w:rPr>
        <w:t>市</w:t>
      </w:r>
      <w:r>
        <w:rPr>
          <w:rFonts w:hint="eastAsia" w:ascii="方正公文小标宋" w:hAnsi="方正公文小标宋" w:eastAsia="方正公文小标宋" w:cs="方正公文小标宋"/>
          <w:b w:val="0"/>
          <w:bCs w:val="0"/>
          <w:color w:val="FF0000"/>
          <w:spacing w:val="0"/>
          <w:w w:val="75"/>
          <w:position w:val="0"/>
          <w:sz w:val="100"/>
          <w:szCs w:val="100"/>
        </w:rPr>
        <w:t>财政局</w:t>
      </w:r>
      <w:r>
        <w:rPr>
          <w:rFonts w:hint="eastAsia" w:ascii="方正公文小标宋" w:hAnsi="方正公文小标宋" w:eastAsia="方正公文小标宋" w:cs="方正公文小标宋"/>
          <w:b w:val="0"/>
          <w:bCs w:val="0"/>
          <w:color w:val="FF0000"/>
          <w:spacing w:val="0"/>
          <w:w w:val="75"/>
          <w:position w:val="0"/>
          <w:sz w:val="100"/>
          <w:szCs w:val="100"/>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200" w:lineRule="exact"/>
        <w:ind w:left="0"/>
        <w:jc w:val="distribute"/>
        <w:textAlignment w:val="baseline"/>
        <w:rPr>
          <w:rFonts w:hint="eastAsia" w:ascii="方正公文小标宋" w:hAnsi="方正公文小标宋" w:eastAsia="方正公文小标宋" w:cs="方正公文小标宋"/>
          <w:b w:val="0"/>
          <w:bCs w:val="0"/>
          <w:color w:val="FF0000"/>
          <w:spacing w:val="0"/>
          <w:w w:val="85"/>
          <w:position w:val="0"/>
          <w:sz w:val="100"/>
          <w:szCs w:val="100"/>
        </w:rPr>
      </w:pPr>
      <w:r>
        <w:rPr>
          <w:rFonts w:hint="eastAsia" w:ascii="方正公文小标宋" w:hAnsi="方正公文小标宋" w:eastAsia="方正公文小标宋" w:cs="方正公文小标宋"/>
          <w:b w:val="0"/>
          <w:bCs w:val="0"/>
          <w:color w:val="FF0000"/>
          <w:spacing w:val="0"/>
          <w:w w:val="85"/>
          <w:position w:val="0"/>
          <w:sz w:val="100"/>
          <w:szCs w:val="100"/>
          <w:lang w:eastAsia="zh-CN"/>
        </w:rPr>
        <w:t>启东市</w:t>
      </w:r>
      <w:r>
        <w:rPr>
          <w:rFonts w:hint="eastAsia" w:ascii="方正公文小标宋" w:hAnsi="方正公文小标宋" w:eastAsia="方正公文小标宋" w:cs="方正公文小标宋"/>
          <w:b w:val="0"/>
          <w:bCs w:val="0"/>
          <w:color w:val="FF0000"/>
          <w:spacing w:val="0"/>
          <w:w w:val="85"/>
          <w:position w:val="0"/>
          <w:sz w:val="100"/>
          <w:szCs w:val="100"/>
        </w:rPr>
        <w:t>乡村振兴局</w:t>
      </w:r>
    </w:p>
    <w:p>
      <w:pPr>
        <w:spacing w:line="248" w:lineRule="auto"/>
        <w:rPr>
          <w:rFonts w:ascii="Arial"/>
          <w:sz w:val="21"/>
        </w:rPr>
      </w:pPr>
    </w:p>
    <w:p>
      <w:pPr>
        <w:spacing w:line="249"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outlineLvl w:val="9"/>
        <w:rPr>
          <w:rFonts w:hint="eastAsia" w:ascii="仿宋_GB2312" w:hAnsi="仿宋_GB2312" w:eastAsia="仿宋_GB2312" w:cs="仿宋_GB2312"/>
          <w:spacing w:val="0"/>
          <w:position w:val="0"/>
          <w:sz w:val="32"/>
          <w:szCs w:val="32"/>
        </w:rPr>
      </w:pPr>
      <w:bookmarkStart w:id="0" w:name="_GoBack"/>
      <w:r>
        <w:rPr>
          <w:rFonts w:hint="eastAsia" w:ascii="仿宋_GB2312" w:hAnsi="仿宋_GB2312" w:eastAsia="仿宋_GB2312" w:cs="仿宋_GB2312"/>
          <w:spacing w:val="0"/>
          <w:position w:val="0"/>
          <w:sz w:val="32"/>
          <w:szCs w:val="32"/>
          <w:lang w:eastAsia="zh-CN"/>
        </w:rPr>
        <w:t>启</w:t>
      </w:r>
      <w:r>
        <w:rPr>
          <w:rFonts w:hint="eastAsia" w:ascii="仿宋_GB2312" w:hAnsi="仿宋_GB2312" w:eastAsia="仿宋_GB2312" w:cs="仿宋_GB2312"/>
          <w:spacing w:val="0"/>
          <w:position w:val="0"/>
          <w:sz w:val="32"/>
          <w:szCs w:val="32"/>
        </w:rPr>
        <w:t>民</w:t>
      </w:r>
      <w:r>
        <w:rPr>
          <w:rFonts w:hint="eastAsia" w:ascii="仿宋_GB2312" w:hAnsi="仿宋_GB2312" w:eastAsia="仿宋_GB2312" w:cs="仿宋_GB2312"/>
          <w:spacing w:val="0"/>
          <w:position w:val="0"/>
          <w:sz w:val="32"/>
          <w:szCs w:val="32"/>
          <w:lang w:eastAsia="zh-CN"/>
        </w:rPr>
        <w:t>发</w:t>
      </w:r>
      <w:r>
        <w:rPr>
          <w:rFonts w:hint="eastAsia" w:ascii="仿宋_GB2312" w:hAnsi="仿宋_GB2312" w:eastAsia="仿宋_GB2312" w:cs="仿宋_GB2312"/>
          <w:spacing w:val="0"/>
          <w:position w:val="0"/>
          <w:sz w:val="32"/>
          <w:szCs w:val="32"/>
        </w:rPr>
        <w:t>〔2023〕</w:t>
      </w:r>
      <w:r>
        <w:rPr>
          <w:rFonts w:hint="eastAsia" w:ascii="仿宋_GB2312" w:hAnsi="仿宋_GB2312" w:eastAsia="仿宋_GB2312" w:cs="仿宋_GB2312"/>
          <w:spacing w:val="0"/>
          <w:position w:val="0"/>
          <w:sz w:val="32"/>
          <w:szCs w:val="32"/>
          <w:lang w:val="en-US" w:eastAsia="zh-CN"/>
        </w:rPr>
        <w:t>121</w:t>
      </w:r>
      <w:r>
        <w:rPr>
          <w:rFonts w:hint="eastAsia" w:ascii="仿宋_GB2312" w:hAnsi="仿宋_GB2312" w:eastAsia="仿宋_GB2312" w:cs="仿宋_GB2312"/>
          <w:spacing w:val="0"/>
          <w:position w:val="0"/>
          <w:sz w:val="32"/>
          <w:szCs w:val="32"/>
        </w:rPr>
        <w:t>号</w:t>
      </w:r>
    </w:p>
    <w:bookmarkEnd w:id="0"/>
    <w:p>
      <w:pPr>
        <w:spacing w:line="295" w:lineRule="auto"/>
        <w:rPr>
          <w:rFonts w:ascii="Arial"/>
          <w:sz w:val="21"/>
        </w:rPr>
      </w:pPr>
    </w:p>
    <w:p>
      <w:pPr>
        <w:spacing w:line="60" w:lineRule="exact"/>
        <w:textAlignment w:val="center"/>
      </w:pPr>
      <w:r>
        <w:drawing>
          <wp:inline distT="0" distB="0" distL="0" distR="0">
            <wp:extent cx="5607685" cy="76200"/>
            <wp:effectExtent l="0" t="0" r="12065"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7"/>
                    <a:stretch>
                      <a:fillRect/>
                    </a:stretch>
                  </pic:blipFill>
                  <pic:spPr>
                    <a:xfrm>
                      <a:off x="0" y="0"/>
                      <a:ext cx="5607685" cy="76200"/>
                    </a:xfrm>
                    <a:prstGeom prst="rect">
                      <a:avLst/>
                    </a:prstGeom>
                  </pic:spPr>
                </pic:pic>
              </a:graphicData>
            </a:graphic>
          </wp:inline>
        </w:drawing>
      </w:r>
    </w:p>
    <w:p>
      <w:pPr>
        <w:spacing w:line="333" w:lineRule="auto"/>
        <w:rPr>
          <w:rFonts w:ascii="Arial"/>
          <w:sz w:val="21"/>
        </w:rPr>
      </w:pPr>
    </w:p>
    <w:p>
      <w:pPr>
        <w:spacing w:line="33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700" w:lineRule="exact"/>
        <w:ind w:left="1740" w:right="0" w:hanging="1740"/>
        <w:jc w:val="center"/>
        <w:textAlignment w:val="baseline"/>
        <w:rPr>
          <w:rFonts w:hint="eastAsia" w:ascii="方正公文小标宋" w:hAnsi="方正公文小标宋" w:eastAsia="方正公文小标宋" w:cs="方正公文小标宋"/>
          <w:b w:val="0"/>
          <w:bCs w:val="0"/>
          <w:spacing w:val="-16"/>
          <w:sz w:val="44"/>
          <w:szCs w:val="44"/>
        </w:rPr>
      </w:pPr>
      <w:r>
        <w:rPr>
          <w:rFonts w:hint="eastAsia" w:ascii="方正公文小标宋" w:hAnsi="方正公文小标宋" w:eastAsia="方正公文小标宋" w:cs="方正公文小标宋"/>
          <w:b w:val="0"/>
          <w:bCs w:val="0"/>
          <w:spacing w:val="-16"/>
          <w:sz w:val="44"/>
          <w:szCs w:val="44"/>
          <w:lang w:eastAsia="zh-CN"/>
        </w:rPr>
        <w:t>关于切实做好全市</w:t>
      </w:r>
      <w:r>
        <w:rPr>
          <w:rFonts w:hint="eastAsia" w:ascii="方正公文小标宋" w:hAnsi="方正公文小标宋" w:eastAsia="方正公文小标宋" w:cs="方正公文小标宋"/>
          <w:b w:val="0"/>
          <w:bCs w:val="0"/>
          <w:spacing w:val="-16"/>
          <w:sz w:val="44"/>
          <w:szCs w:val="44"/>
        </w:rPr>
        <w:t>最低生活保障</w:t>
      </w:r>
    </w:p>
    <w:p>
      <w:pPr>
        <w:keepNext w:val="0"/>
        <w:keepLines w:val="0"/>
        <w:pageBreakBefore w:val="0"/>
        <w:widowControl/>
        <w:kinsoku w:val="0"/>
        <w:wordWrap/>
        <w:overflowPunct/>
        <w:topLinePunct w:val="0"/>
        <w:autoSpaceDE w:val="0"/>
        <w:autoSpaceDN w:val="0"/>
        <w:bidi w:val="0"/>
        <w:adjustRightInd w:val="0"/>
        <w:snapToGrid w:val="0"/>
        <w:spacing w:line="700" w:lineRule="exact"/>
        <w:ind w:left="1740" w:right="0" w:hanging="1740"/>
        <w:jc w:val="center"/>
        <w:textAlignment w:val="baseline"/>
        <w:rPr>
          <w:rFonts w:ascii="宋体" w:hAnsi="宋体" w:eastAsia="宋体" w:cs="宋体"/>
          <w:sz w:val="45"/>
          <w:szCs w:val="45"/>
        </w:rPr>
      </w:pPr>
      <w:r>
        <w:rPr>
          <w:rFonts w:hint="eastAsia" w:ascii="方正公文小标宋" w:hAnsi="方正公文小标宋" w:eastAsia="方正公文小标宋" w:cs="方正公文小标宋"/>
          <w:b w:val="0"/>
          <w:bCs w:val="0"/>
          <w:spacing w:val="-10"/>
          <w:sz w:val="44"/>
          <w:szCs w:val="44"/>
        </w:rPr>
        <w:t>提质增效</w:t>
      </w:r>
      <w:r>
        <w:rPr>
          <w:rFonts w:hint="eastAsia" w:ascii="方正公文小标宋" w:hAnsi="方正公文小标宋" w:eastAsia="方正公文小标宋" w:cs="方正公文小标宋"/>
          <w:b w:val="0"/>
          <w:bCs w:val="0"/>
          <w:spacing w:val="-10"/>
          <w:sz w:val="44"/>
          <w:szCs w:val="44"/>
          <w:lang w:eastAsia="zh-CN"/>
        </w:rPr>
        <w:t>有关事项的通知</w:t>
      </w:r>
    </w:p>
    <w:p>
      <w:pPr>
        <w:spacing w:line="286" w:lineRule="auto"/>
        <w:rPr>
          <w:rFonts w:ascii="Arial"/>
          <w:sz w:val="21"/>
        </w:rPr>
      </w:pPr>
    </w:p>
    <w:p>
      <w:pPr>
        <w:spacing w:line="287"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各镇人民政府、各园区管委会、各街道办事处：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为认真贯彻</w:t>
      </w:r>
      <w:r>
        <w:rPr>
          <w:rFonts w:hint="eastAsia" w:ascii="仿宋_GB2312" w:hAnsi="仿宋_GB2312" w:eastAsia="仿宋_GB2312" w:cs="仿宋_GB2312"/>
          <w:color w:val="auto"/>
          <w:spacing w:val="0"/>
          <w:position w:val="0"/>
          <w:sz w:val="32"/>
          <w:szCs w:val="32"/>
          <w:highlight w:val="none"/>
        </w:rPr>
        <w:t>《关于切实做好最低生活保障等社会救助兜底保障工作的通知》</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苏民规〔2023〕5号</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《关于明确全市最低生活保障等社会救助兜底保障工作的通知》</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通民规〔2023〕1号</w:t>
      </w:r>
      <w:r>
        <w:rPr>
          <w:rFonts w:hint="eastAsia" w:ascii="仿宋_GB2312" w:hAnsi="仿宋_GB2312" w:eastAsia="仿宋_GB2312" w:cs="仿宋_GB2312"/>
          <w:color w:val="auto"/>
          <w:spacing w:val="0"/>
          <w:position w:val="0"/>
          <w:sz w:val="32"/>
          <w:szCs w:val="32"/>
          <w:highlight w:val="none"/>
          <w:lang w:eastAsia="zh-CN"/>
        </w:rPr>
        <w:t>）精神，</w:t>
      </w:r>
      <w:r>
        <w:rPr>
          <w:rFonts w:hint="eastAsia" w:ascii="Times New Roman" w:hAnsi="Times New Roman" w:eastAsia="仿宋_GB2312" w:cs="仿宋_GB2312"/>
          <w:b w:val="0"/>
          <w:bCs w:val="0"/>
          <w:color w:val="auto"/>
          <w:sz w:val="32"/>
          <w:szCs w:val="32"/>
          <w:highlight w:val="none"/>
          <w:lang w:eastAsia="zh-CN"/>
        </w:rPr>
        <w:t>充分发挥社会救助兜底保障作用，实现最低生活保障等社会救助扩围、提质、增效，</w:t>
      </w:r>
      <w:r>
        <w:rPr>
          <w:rFonts w:hint="eastAsia" w:ascii="Times New Roman" w:hAnsi="Times New Roman" w:eastAsia="仿宋_GB2312" w:cs="仿宋_GB2312"/>
          <w:b w:val="0"/>
          <w:bCs w:val="0"/>
          <w:color w:val="auto"/>
          <w:sz w:val="32"/>
          <w:szCs w:val="32"/>
          <w:highlight w:val="none"/>
          <w:lang w:val="en-US" w:eastAsia="zh-CN"/>
        </w:rPr>
        <w:t>切实增进民生福祉，在落实好</w:t>
      </w:r>
      <w:r>
        <w:rPr>
          <w:rFonts w:hint="eastAsia" w:ascii="仿宋_GB2312" w:hAnsi="仿宋_GB2312" w:eastAsia="仿宋_GB2312" w:cs="仿宋_GB2312"/>
          <w:color w:val="auto"/>
          <w:spacing w:val="0"/>
          <w:position w:val="0"/>
          <w:sz w:val="32"/>
          <w:szCs w:val="32"/>
          <w:highlight w:val="none"/>
        </w:rPr>
        <w:t>《市政府关于印发启东市居民最低生活保障实施办法的通知》</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启政规〔2021〕5号</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基础上，</w:t>
      </w:r>
      <w:r>
        <w:rPr>
          <w:rFonts w:hint="eastAsia" w:ascii="仿宋_GB2312" w:hAnsi="仿宋_GB2312" w:eastAsia="仿宋_GB2312" w:cs="仿宋_GB2312"/>
          <w:color w:val="auto"/>
          <w:spacing w:val="0"/>
          <w:position w:val="0"/>
          <w:sz w:val="32"/>
          <w:szCs w:val="32"/>
          <w:highlight w:val="none"/>
          <w:lang w:eastAsia="zh-CN"/>
        </w:rPr>
        <w:t>现就</w:t>
      </w:r>
      <w:r>
        <w:rPr>
          <w:rFonts w:hint="eastAsia" w:ascii="Times New Roman" w:hAnsi="Times New Roman" w:eastAsia="仿宋_GB2312" w:cs="仿宋_GB2312"/>
          <w:b w:val="0"/>
          <w:bCs w:val="0"/>
          <w:color w:val="auto"/>
          <w:sz w:val="32"/>
          <w:szCs w:val="32"/>
          <w:highlight w:val="none"/>
          <w:lang w:val="en-US" w:eastAsia="zh-CN"/>
        </w:rPr>
        <w:t>有关事项作进一步明确如下：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rPr>
      </w:pPr>
      <w:r>
        <w:rPr>
          <w:rFonts w:hint="eastAsia" w:ascii="黑体" w:hAnsi="黑体" w:eastAsia="黑体" w:cs="黑体"/>
          <w:color w:val="auto"/>
          <w:spacing w:val="0"/>
          <w:position w:val="0"/>
          <w:sz w:val="32"/>
          <w:szCs w:val="32"/>
          <w:highlight w:val="none"/>
        </w:rPr>
        <w:t>一、</w:t>
      </w:r>
      <w:r>
        <w:rPr>
          <w:rFonts w:hint="eastAsia" w:ascii="黑体" w:hAnsi="黑体" w:eastAsia="黑体" w:cs="黑体"/>
          <w:color w:val="auto"/>
          <w:spacing w:val="0"/>
          <w:position w:val="0"/>
          <w:sz w:val="32"/>
          <w:szCs w:val="32"/>
          <w:highlight w:val="none"/>
          <w:lang w:eastAsia="zh-CN"/>
        </w:rPr>
        <w:t>完善</w:t>
      </w:r>
      <w:r>
        <w:rPr>
          <w:rFonts w:hint="eastAsia" w:ascii="黑体" w:hAnsi="黑体" w:eastAsia="黑体" w:cs="黑体"/>
          <w:color w:val="auto"/>
          <w:spacing w:val="0"/>
          <w:position w:val="0"/>
          <w:sz w:val="32"/>
          <w:szCs w:val="32"/>
          <w:highlight w:val="none"/>
        </w:rPr>
        <w:t>低保申请、审核准入条件</w:t>
      </w:r>
    </w:p>
    <w:p>
      <w:pPr>
        <w:keepNext w:val="0"/>
        <w:keepLines w:val="0"/>
        <w:pageBreakBefore w:val="0"/>
        <w:wordWrap/>
        <w:overflowPunct/>
        <w:topLinePunct w:val="0"/>
        <w:bidi w:val="0"/>
        <w:spacing w:line="560" w:lineRule="exact"/>
        <w:ind w:left="0" w:firstLine="643" w:firstLineChars="200"/>
        <w:jc w:val="both"/>
        <w:rPr>
          <w:rFonts w:hint="eastAsia" w:ascii="仿宋_GB2312" w:hAnsi="仿宋_GB2312" w:eastAsia="仿宋_GB2312" w:cs="仿宋_GB2312"/>
          <w:color w:val="auto"/>
          <w:spacing w:val="0"/>
          <w:position w:val="0"/>
          <w:sz w:val="32"/>
          <w:szCs w:val="32"/>
          <w:highlight w:val="none"/>
        </w:rPr>
      </w:pPr>
      <w:r>
        <w:rPr>
          <w:rFonts w:hint="eastAsia" w:ascii="楷体_GB2312" w:hAnsi="楷体_GB2312" w:eastAsia="楷体_GB2312" w:cs="楷体_GB2312"/>
          <w:b/>
          <w:bCs/>
          <w:color w:val="auto"/>
          <w:spacing w:val="0"/>
          <w:position w:val="0"/>
          <w:sz w:val="32"/>
          <w:szCs w:val="32"/>
          <w:highlight w:val="none"/>
        </w:rPr>
        <w:t>1.</w:t>
      </w:r>
      <w:r>
        <w:rPr>
          <w:rFonts w:hint="eastAsia" w:ascii="楷体_GB2312" w:hAnsi="楷体_GB2312" w:eastAsia="楷体_GB2312" w:cs="楷体_GB2312"/>
          <w:b/>
          <w:bCs/>
          <w:color w:val="auto"/>
          <w:spacing w:val="0"/>
          <w:position w:val="0"/>
          <w:sz w:val="32"/>
          <w:szCs w:val="32"/>
          <w:highlight w:val="none"/>
          <w:lang w:eastAsia="zh-CN"/>
        </w:rPr>
        <w:t>完善</w:t>
      </w:r>
      <w:r>
        <w:rPr>
          <w:rFonts w:hint="eastAsia" w:ascii="楷体_GB2312" w:hAnsi="楷体_GB2312" w:eastAsia="楷体_GB2312" w:cs="楷体_GB2312"/>
          <w:b/>
          <w:bCs/>
          <w:color w:val="auto"/>
          <w:spacing w:val="0"/>
          <w:position w:val="0"/>
          <w:sz w:val="32"/>
          <w:szCs w:val="32"/>
          <w:highlight w:val="none"/>
        </w:rPr>
        <w:t>“单人保”条件范围。</w:t>
      </w:r>
      <w:r>
        <w:rPr>
          <w:rFonts w:hint="eastAsia" w:ascii="Times New Roman" w:hAnsi="Times New Roman" w:eastAsia="仿宋_GB2312" w:cs="Times New Roman"/>
          <w:b w:val="0"/>
          <w:bCs w:val="0"/>
          <w:color w:val="auto"/>
          <w:sz w:val="32"/>
          <w:szCs w:val="32"/>
          <w:highlight w:val="none"/>
          <w:lang w:val="en-US" w:eastAsia="zh-CN"/>
        </w:rPr>
        <w:t>成年无业单身</w:t>
      </w:r>
      <w:r>
        <w:rPr>
          <w:rFonts w:hint="eastAsia" w:ascii="Times New Roman" w:hAnsi="Times New Roman" w:eastAsia="仿宋_GB2312" w:cs="Times New Roman"/>
          <w:b w:val="0"/>
          <w:bCs w:val="0"/>
          <w:color w:val="auto"/>
          <w:sz w:val="32"/>
          <w:szCs w:val="32"/>
          <w:highlight w:val="none"/>
          <w:u w:val="none"/>
          <w:lang w:val="en-US" w:eastAsia="zh-CN"/>
        </w:rPr>
        <w:t>的重度残疾人和三</w:t>
      </w:r>
      <w:r>
        <w:rPr>
          <w:rFonts w:hint="eastAsia" w:ascii="Times New Roman" w:hAnsi="Times New Roman" w:eastAsia="仿宋_GB2312" w:cs="Times New Roman"/>
          <w:b w:val="0"/>
          <w:bCs w:val="0"/>
          <w:color w:val="auto"/>
          <w:sz w:val="32"/>
          <w:szCs w:val="32"/>
          <w:highlight w:val="none"/>
          <w:lang w:val="en-US" w:eastAsia="zh-CN"/>
        </w:rPr>
        <w:t>级精神、三级智力残疾人</w:t>
      </w:r>
      <w:r>
        <w:rPr>
          <w:rFonts w:hint="eastAsia" w:ascii="仿宋_GB2312" w:hAnsi="仿宋_GB2312" w:eastAsia="仿宋_GB2312" w:cs="仿宋_GB2312"/>
          <w:color w:val="auto"/>
          <w:spacing w:val="0"/>
          <w:position w:val="0"/>
          <w:sz w:val="32"/>
          <w:szCs w:val="32"/>
          <w:highlight w:val="none"/>
          <w:lang w:val="en-US" w:eastAsia="zh-CN"/>
        </w:rPr>
        <w:t>可以参照“单人户”受理救助申请。</w:t>
      </w:r>
      <w:r>
        <w:rPr>
          <w:rFonts w:hint="eastAsia" w:ascii="Times New Roman" w:hAnsi="Times New Roman" w:eastAsia="仿宋_GB2312" w:cs="Times New Roman"/>
          <w:b w:val="0"/>
          <w:bCs w:val="0"/>
          <w:color w:val="auto"/>
          <w:sz w:val="32"/>
          <w:szCs w:val="32"/>
          <w:highlight w:val="none"/>
          <w:lang w:val="en-US" w:eastAsia="zh-CN"/>
        </w:rPr>
        <w:t>将低收入家庭中符合条件的成年无业四级精神、四级智力残疾人纳入“单人保”受理救助申请范围，认定后按低保标准的75%给予定额保障</w:t>
      </w:r>
      <w:r>
        <w:rPr>
          <w:rFonts w:hint="eastAsia" w:ascii="仿宋_GB2312" w:hAnsi="仿宋_GB2312" w:eastAsia="仿宋_GB2312" w:cs="仿宋_GB2312"/>
          <w:color w:val="auto"/>
          <w:spacing w:val="0"/>
          <w:position w:val="0"/>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outlineLvl w:val="9"/>
        <w:rPr>
          <w:rFonts w:hint="eastAsia" w:ascii="Times New Roman" w:hAnsi="Times New Roman" w:eastAsia="仿宋_GB2312" w:cs="仿宋_GB2312"/>
          <w:b w:val="0"/>
          <w:bCs w:val="0"/>
          <w:color w:val="auto"/>
          <w:sz w:val="32"/>
          <w:szCs w:val="32"/>
        </w:rPr>
      </w:pPr>
      <w:r>
        <w:rPr>
          <w:rFonts w:hint="eastAsia" w:ascii="楷体_GB2312" w:hAnsi="楷体_GB2312" w:eastAsia="楷体_GB2312" w:cs="楷体_GB2312"/>
          <w:b/>
          <w:bCs/>
          <w:color w:val="auto"/>
          <w:spacing w:val="0"/>
          <w:position w:val="0"/>
          <w:sz w:val="32"/>
          <w:szCs w:val="32"/>
          <w:highlight w:val="none"/>
        </w:rPr>
        <w:t>2.</w:t>
      </w:r>
      <w:r>
        <w:rPr>
          <w:rFonts w:hint="eastAsia" w:ascii="楷体_GB2312" w:hAnsi="楷体_GB2312" w:eastAsia="楷体_GB2312" w:cs="楷体_GB2312"/>
          <w:b/>
          <w:bCs/>
          <w:color w:val="auto"/>
          <w:spacing w:val="0"/>
          <w:position w:val="0"/>
          <w:sz w:val="32"/>
          <w:szCs w:val="32"/>
          <w:highlight w:val="none"/>
          <w:lang w:eastAsia="zh-CN"/>
        </w:rPr>
        <w:t>完善</w:t>
      </w:r>
      <w:r>
        <w:rPr>
          <w:rFonts w:hint="eastAsia" w:ascii="楷体_GB2312" w:hAnsi="楷体_GB2312" w:eastAsia="楷体_GB2312" w:cs="楷体_GB2312"/>
          <w:b/>
          <w:bCs/>
          <w:color w:val="auto"/>
          <w:spacing w:val="0"/>
          <w:position w:val="0"/>
          <w:sz w:val="32"/>
          <w:szCs w:val="32"/>
          <w:highlight w:val="none"/>
        </w:rPr>
        <w:t>“家庭保”家庭家用汽车限制条件。</w:t>
      </w:r>
      <w:r>
        <w:rPr>
          <w:rFonts w:hint="eastAsia" w:ascii="Times New Roman" w:hAnsi="Times New Roman" w:eastAsia="仿宋_GB2312" w:cs="仿宋_GB2312"/>
          <w:b w:val="0"/>
          <w:bCs w:val="0"/>
          <w:color w:val="auto"/>
          <w:sz w:val="32"/>
          <w:szCs w:val="32"/>
        </w:rPr>
        <w:t>对主要用于家庭中重特大疾病患者、罕见病患者就诊或重度残疾人出行</w:t>
      </w:r>
      <w:r>
        <w:rPr>
          <w:rFonts w:hint="eastAsia" w:ascii="Times New Roman" w:hAnsi="Times New Roman" w:eastAsia="仿宋_GB2312" w:cs="仿宋_GB2312"/>
          <w:b w:val="0"/>
          <w:bCs w:val="0"/>
          <w:color w:val="auto"/>
          <w:sz w:val="32"/>
          <w:szCs w:val="32"/>
          <w:lang w:eastAsia="zh-CN"/>
        </w:rPr>
        <w:t>，车辆残值不高于</w:t>
      </w:r>
      <w:r>
        <w:rPr>
          <w:rFonts w:hint="eastAsia" w:ascii="Times New Roman" w:hAnsi="Times New Roman" w:eastAsia="仿宋_GB2312" w:cs="仿宋_GB2312"/>
          <w:b w:val="0"/>
          <w:bCs w:val="0"/>
          <w:color w:val="auto"/>
          <w:sz w:val="32"/>
          <w:szCs w:val="32"/>
          <w:lang w:val="en-US" w:eastAsia="zh-CN"/>
        </w:rPr>
        <w:t>年</w:t>
      </w:r>
      <w:r>
        <w:rPr>
          <w:rFonts w:hint="eastAsia" w:ascii="Times New Roman" w:hAnsi="Times New Roman" w:eastAsia="仿宋_GB2312" w:cs="仿宋_GB2312"/>
          <w:b w:val="0"/>
          <w:bCs w:val="0"/>
          <w:color w:val="auto"/>
          <w:sz w:val="32"/>
          <w:szCs w:val="32"/>
          <w:lang w:eastAsia="zh-CN"/>
        </w:rPr>
        <w:t>低保标准</w:t>
      </w:r>
      <w:r>
        <w:rPr>
          <w:rFonts w:hint="eastAsia" w:ascii="Times New Roman" w:hAnsi="Times New Roman" w:eastAsia="仿宋_GB2312" w:cs="仿宋_GB2312"/>
          <w:b w:val="0"/>
          <w:bCs w:val="0"/>
          <w:color w:val="auto"/>
          <w:sz w:val="32"/>
          <w:szCs w:val="32"/>
          <w:lang w:val="en-US" w:eastAsia="zh-CN"/>
        </w:rPr>
        <w:t>12倍</w:t>
      </w:r>
      <w:r>
        <w:rPr>
          <w:rFonts w:hint="eastAsia" w:ascii="Times New Roman" w:hAnsi="Times New Roman" w:eastAsia="仿宋_GB2312" w:cs="仿宋_GB2312"/>
          <w:b w:val="0"/>
          <w:bCs w:val="0"/>
          <w:color w:val="auto"/>
          <w:sz w:val="32"/>
          <w:szCs w:val="32"/>
        </w:rPr>
        <w:t>的小型车辆，可不纳入车辆核定范围。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u w:val="none"/>
        </w:rPr>
      </w:pPr>
      <w:r>
        <w:rPr>
          <w:rFonts w:hint="eastAsia" w:ascii="楷体_GB2312" w:hAnsi="楷体_GB2312" w:eastAsia="楷体_GB2312" w:cs="楷体_GB2312"/>
          <w:b/>
          <w:bCs/>
          <w:color w:val="auto"/>
          <w:spacing w:val="0"/>
          <w:position w:val="0"/>
          <w:sz w:val="32"/>
          <w:szCs w:val="32"/>
          <w:highlight w:val="none"/>
        </w:rPr>
        <w:t>3.明确特殊申请人金融资产限额新标准</w:t>
      </w:r>
      <w:r>
        <w:rPr>
          <w:rFonts w:hint="eastAsia" w:ascii="楷体_GB2312" w:hAnsi="楷体_GB2312" w:eastAsia="楷体_GB2312" w:cs="楷体_GB2312"/>
          <w:b/>
          <w:bCs/>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申请人家庭有</w:t>
      </w:r>
      <w:r>
        <w:rPr>
          <w:rFonts w:hint="eastAsia" w:ascii="Times New Roman" w:hAnsi="Times New Roman" w:eastAsia="仿宋_GB2312" w:cs="仿宋_GB2312"/>
          <w:b w:val="0"/>
          <w:bCs w:val="0"/>
          <w:color w:val="auto"/>
          <w:sz w:val="32"/>
          <w:szCs w:val="32"/>
        </w:rPr>
        <w:t>重特大疾病患者、重度残疾人</w:t>
      </w:r>
      <w:r>
        <w:rPr>
          <w:rFonts w:hint="eastAsia" w:ascii="Times New Roman" w:hAnsi="Times New Roman" w:eastAsia="仿宋_GB2312" w:cs="仿宋_GB2312"/>
          <w:b w:val="0"/>
          <w:bCs w:val="0"/>
          <w:color w:val="auto"/>
          <w:sz w:val="32"/>
          <w:szCs w:val="32"/>
          <w:lang w:eastAsia="zh-CN"/>
        </w:rPr>
        <w:t>、</w:t>
      </w:r>
      <w:r>
        <w:rPr>
          <w:rFonts w:hint="eastAsia" w:ascii="Times New Roman" w:hAnsi="Times New Roman" w:eastAsia="仿宋_GB2312" w:cs="仿宋_GB2312"/>
          <w:b w:val="0"/>
          <w:bCs w:val="0"/>
          <w:color w:val="auto"/>
          <w:sz w:val="32"/>
          <w:szCs w:val="32"/>
          <w:lang w:val="en-US" w:eastAsia="zh-CN"/>
        </w:rPr>
        <w:t>失独老年人</w:t>
      </w:r>
      <w:r>
        <w:rPr>
          <w:rFonts w:hint="eastAsia" w:ascii="仿宋_GB2312" w:hAnsi="仿宋_GB2312" w:eastAsia="仿宋_GB2312" w:cs="仿宋_GB2312"/>
          <w:color w:val="auto"/>
          <w:spacing w:val="0"/>
          <w:position w:val="0"/>
          <w:sz w:val="32"/>
          <w:szCs w:val="32"/>
          <w:highlight w:val="none"/>
        </w:rPr>
        <w:t>等特殊困难人员的，其家庭人均</w:t>
      </w:r>
      <w:r>
        <w:rPr>
          <w:rFonts w:hint="eastAsia" w:ascii="仿宋_GB2312" w:hAnsi="仿宋_GB2312" w:eastAsia="仿宋_GB2312" w:cs="仿宋_GB2312"/>
          <w:b w:val="0"/>
          <w:bCs w:val="0"/>
          <w:color w:val="auto"/>
          <w:spacing w:val="0"/>
          <w:position w:val="0"/>
          <w:sz w:val="32"/>
          <w:szCs w:val="32"/>
          <w:highlight w:val="none"/>
        </w:rPr>
        <w:t>金融资产限额提高至年低保保障标准的5倍</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u w:val="none"/>
          <w:lang w:eastAsia="zh-CN"/>
        </w:rPr>
        <w:t>申请人是依</w:t>
      </w:r>
      <w:r>
        <w:rPr>
          <w:rFonts w:hint="eastAsia" w:ascii="仿宋_GB2312" w:hAnsi="仿宋_GB2312" w:eastAsia="仿宋_GB2312" w:cs="仿宋_GB2312"/>
          <w:b w:val="0"/>
          <w:bCs w:val="0"/>
          <w:color w:val="auto"/>
          <w:spacing w:val="0"/>
          <w:position w:val="0"/>
          <w:sz w:val="32"/>
          <w:szCs w:val="32"/>
          <w:highlight w:val="none"/>
          <w:u w:val="none"/>
        </w:rPr>
        <w:t>老养残</w:t>
      </w:r>
      <w:r>
        <w:rPr>
          <w:rFonts w:hint="eastAsia" w:ascii="仿宋_GB2312" w:hAnsi="仿宋_GB2312" w:eastAsia="仿宋_GB2312" w:cs="仿宋_GB2312"/>
          <w:b w:val="0"/>
          <w:bCs w:val="0"/>
          <w:color w:val="auto"/>
          <w:spacing w:val="0"/>
          <w:position w:val="0"/>
          <w:sz w:val="32"/>
          <w:szCs w:val="32"/>
          <w:highlight w:val="none"/>
          <w:u w:val="none"/>
          <w:lang w:eastAsia="zh-CN"/>
        </w:rPr>
        <w:t>（指重度残疾人）的，其抚养人</w:t>
      </w:r>
      <w:r>
        <w:rPr>
          <w:rFonts w:hint="eastAsia" w:ascii="仿宋_GB2312" w:hAnsi="仿宋_GB2312" w:eastAsia="仿宋_GB2312" w:cs="仿宋_GB2312"/>
          <w:b w:val="0"/>
          <w:bCs w:val="0"/>
          <w:color w:val="auto"/>
          <w:spacing w:val="0"/>
          <w:position w:val="0"/>
          <w:sz w:val="32"/>
          <w:szCs w:val="32"/>
          <w:highlight w:val="none"/>
          <w:u w:val="none"/>
          <w:lang w:val="en-US" w:eastAsia="zh-CN"/>
        </w:rPr>
        <w:t>家庭人均金融资产不限。</w:t>
      </w:r>
      <w:r>
        <w:rPr>
          <w:rFonts w:hint="eastAsia" w:ascii="仿宋_GB2312" w:hAnsi="仿宋_GB2312" w:eastAsia="仿宋_GB2312" w:cs="仿宋_GB2312"/>
          <w:b w:val="0"/>
          <w:bCs w:val="0"/>
          <w:color w:val="auto"/>
          <w:spacing w:val="0"/>
          <w:position w:val="0"/>
          <w:sz w:val="32"/>
          <w:szCs w:val="32"/>
          <w:highlight w:val="none"/>
          <w:u w:val="none"/>
        </w:rPr>
        <w:t>金融资</w:t>
      </w:r>
      <w:r>
        <w:rPr>
          <w:rFonts w:hint="eastAsia" w:ascii="仿宋_GB2312" w:hAnsi="仿宋_GB2312" w:eastAsia="仿宋_GB2312" w:cs="仿宋_GB2312"/>
          <w:b w:val="0"/>
          <w:bCs w:val="0"/>
          <w:color w:val="auto"/>
          <w:spacing w:val="0"/>
          <w:position w:val="0"/>
          <w:sz w:val="32"/>
          <w:szCs w:val="32"/>
          <w:highlight w:val="none"/>
          <w:u w:val="none"/>
          <w:lang w:eastAsia="zh-CN"/>
        </w:rPr>
        <w:t>产</w:t>
      </w:r>
      <w:r>
        <w:rPr>
          <w:rFonts w:hint="eastAsia" w:ascii="仿宋_GB2312" w:hAnsi="仿宋_GB2312" w:eastAsia="仿宋_GB2312" w:cs="仿宋_GB2312"/>
          <w:b w:val="0"/>
          <w:bCs w:val="0"/>
          <w:color w:val="auto"/>
          <w:spacing w:val="0"/>
          <w:position w:val="0"/>
          <w:sz w:val="32"/>
          <w:szCs w:val="32"/>
          <w:highlight w:val="none"/>
          <w:u w:val="none"/>
        </w:rPr>
        <w:t>限额</w:t>
      </w:r>
      <w:r>
        <w:rPr>
          <w:rFonts w:hint="eastAsia" w:ascii="仿宋_GB2312" w:hAnsi="仿宋_GB2312" w:eastAsia="仿宋_GB2312" w:cs="仿宋_GB2312"/>
          <w:b w:val="0"/>
          <w:bCs w:val="0"/>
          <w:color w:val="auto"/>
          <w:spacing w:val="0"/>
          <w:position w:val="0"/>
          <w:sz w:val="32"/>
          <w:szCs w:val="32"/>
          <w:highlight w:val="none"/>
          <w:u w:val="none"/>
          <w:lang w:eastAsia="zh-CN"/>
        </w:rPr>
        <w:t>按就高原则计算</w:t>
      </w:r>
      <w:r>
        <w:rPr>
          <w:rFonts w:hint="eastAsia" w:ascii="仿宋_GB2312" w:hAnsi="仿宋_GB2312" w:eastAsia="仿宋_GB2312" w:cs="仿宋_GB2312"/>
          <w:b w:val="0"/>
          <w:bCs w:val="0"/>
          <w:color w:val="auto"/>
          <w:spacing w:val="0"/>
          <w:position w:val="0"/>
          <w:sz w:val="32"/>
          <w:szCs w:val="32"/>
          <w:highlight w:val="none"/>
          <w:u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rPr>
      </w:pPr>
      <w:r>
        <w:rPr>
          <w:rFonts w:hint="eastAsia" w:ascii="黑体" w:hAnsi="黑体" w:eastAsia="黑体" w:cs="黑体"/>
          <w:color w:val="auto"/>
          <w:spacing w:val="0"/>
          <w:position w:val="0"/>
          <w:sz w:val="32"/>
          <w:szCs w:val="32"/>
          <w:highlight w:val="none"/>
        </w:rPr>
        <w:t>二、</w:t>
      </w:r>
      <w:r>
        <w:rPr>
          <w:rFonts w:hint="eastAsia" w:ascii="黑体" w:hAnsi="黑体" w:eastAsia="黑体" w:cs="黑体"/>
          <w:color w:val="auto"/>
          <w:spacing w:val="0"/>
          <w:position w:val="0"/>
          <w:sz w:val="32"/>
          <w:szCs w:val="32"/>
          <w:highlight w:val="none"/>
          <w:lang w:eastAsia="zh-CN"/>
        </w:rPr>
        <w:t>完善</w:t>
      </w:r>
      <w:r>
        <w:rPr>
          <w:rFonts w:hint="eastAsia" w:ascii="黑体" w:hAnsi="黑体" w:eastAsia="黑体" w:cs="黑体"/>
          <w:color w:val="auto"/>
          <w:spacing w:val="0"/>
          <w:position w:val="0"/>
          <w:sz w:val="32"/>
          <w:szCs w:val="32"/>
          <w:highlight w:val="none"/>
        </w:rPr>
        <w:t>申请人家庭收入豁免或扣减范围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楷体_GB2312" w:hAnsi="楷体_GB2312" w:eastAsia="楷体_GB2312" w:cs="楷体_GB2312"/>
          <w:b/>
          <w:bCs/>
          <w:color w:val="auto"/>
          <w:spacing w:val="0"/>
          <w:position w:val="0"/>
          <w:sz w:val="32"/>
          <w:szCs w:val="32"/>
          <w:highlight w:val="none"/>
          <w:lang w:eastAsia="zh-CN"/>
        </w:rPr>
      </w:pPr>
      <w:r>
        <w:rPr>
          <w:rFonts w:hint="eastAsia" w:ascii="楷体_GB2312" w:hAnsi="楷体_GB2312" w:eastAsia="楷体_GB2312" w:cs="楷体_GB2312"/>
          <w:b/>
          <w:bCs/>
          <w:color w:val="auto"/>
          <w:spacing w:val="0"/>
          <w:position w:val="0"/>
          <w:sz w:val="32"/>
          <w:szCs w:val="32"/>
          <w:highlight w:val="none"/>
        </w:rPr>
        <w:t>1.</w:t>
      </w:r>
      <w:r>
        <w:rPr>
          <w:rFonts w:hint="eastAsia" w:ascii="楷体_GB2312" w:hAnsi="楷体_GB2312" w:eastAsia="楷体_GB2312" w:cs="楷体_GB2312"/>
          <w:b/>
          <w:bCs/>
          <w:color w:val="auto"/>
          <w:spacing w:val="0"/>
          <w:position w:val="0"/>
          <w:sz w:val="32"/>
          <w:szCs w:val="32"/>
          <w:highlight w:val="none"/>
          <w:lang w:eastAsia="zh-CN"/>
        </w:rPr>
        <w:t>完善</w:t>
      </w:r>
      <w:r>
        <w:rPr>
          <w:rFonts w:hint="eastAsia" w:ascii="楷体_GB2312" w:hAnsi="楷体_GB2312" w:eastAsia="楷体_GB2312" w:cs="楷体_GB2312"/>
          <w:b/>
          <w:bCs/>
          <w:color w:val="auto"/>
          <w:spacing w:val="0"/>
          <w:position w:val="0"/>
          <w:sz w:val="32"/>
          <w:szCs w:val="32"/>
          <w:highlight w:val="none"/>
        </w:rPr>
        <w:t>“单人户”供养费收入豁免范围</w:t>
      </w:r>
      <w:r>
        <w:rPr>
          <w:rFonts w:hint="eastAsia" w:ascii="楷体_GB2312" w:hAnsi="楷体_GB2312" w:eastAsia="楷体_GB2312" w:cs="楷体_GB2312"/>
          <w:b/>
          <w:bCs/>
          <w:color w:val="auto"/>
          <w:spacing w:val="0"/>
          <w:position w:val="0"/>
          <w:sz w:val="32"/>
          <w:szCs w:val="32"/>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仿宋_GB2312" w:hAnsi="仿宋_GB2312" w:eastAsia="仿宋_GB2312" w:cs="仿宋_GB2312"/>
          <w:color w:val="auto"/>
          <w:spacing w:val="0"/>
          <w:position w:val="0"/>
          <w:sz w:val="32"/>
          <w:szCs w:val="32"/>
          <w:highlight w:val="none"/>
          <w:u w:val="none"/>
          <w:lang w:val="en-US" w:eastAsia="zh-CN"/>
        </w:rPr>
      </w:pPr>
      <w:r>
        <w:rPr>
          <w:rFonts w:hint="eastAsia" w:ascii="仿宋_GB2312" w:hAnsi="仿宋_GB2312" w:eastAsia="仿宋_GB2312" w:cs="仿宋_GB2312"/>
          <w:color w:val="auto"/>
          <w:spacing w:val="0"/>
          <w:position w:val="0"/>
          <w:sz w:val="32"/>
          <w:szCs w:val="32"/>
          <w:highlight w:val="none"/>
          <w:lang w:eastAsia="zh-CN"/>
        </w:rPr>
        <w:t>年满</w:t>
      </w:r>
      <w:r>
        <w:rPr>
          <w:rFonts w:hint="eastAsia" w:ascii="仿宋_GB2312" w:hAnsi="仿宋_GB2312" w:eastAsia="仿宋_GB2312" w:cs="仿宋_GB2312"/>
          <w:color w:val="auto"/>
          <w:spacing w:val="0"/>
          <w:position w:val="0"/>
          <w:sz w:val="32"/>
          <w:szCs w:val="32"/>
          <w:highlight w:val="none"/>
          <w:lang w:val="en-US" w:eastAsia="zh-CN"/>
        </w:rPr>
        <w:t>60周岁老年人人均月收入低于最低工资标准的或年</w:t>
      </w:r>
      <w:r>
        <w:rPr>
          <w:rFonts w:hint="eastAsia" w:ascii="仿宋_GB2312" w:hAnsi="仿宋_GB2312" w:eastAsia="仿宋_GB2312" w:cs="仿宋_GB2312"/>
          <w:color w:val="auto"/>
          <w:spacing w:val="0"/>
          <w:position w:val="0"/>
          <w:sz w:val="32"/>
          <w:szCs w:val="32"/>
          <w:highlight w:val="none"/>
        </w:rPr>
        <w:t>满70周岁老年人人均月收入低于上年度人均可支配收入的</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豁免其给付给残疾子女的供养费；高</w:t>
      </w:r>
      <w:r>
        <w:rPr>
          <w:rFonts w:hint="eastAsia" w:ascii="仿宋_GB2312" w:hAnsi="仿宋_GB2312" w:eastAsia="仿宋_GB2312" w:cs="仿宋_GB2312"/>
          <w:color w:val="auto"/>
          <w:spacing w:val="0"/>
          <w:position w:val="0"/>
          <w:sz w:val="32"/>
          <w:szCs w:val="32"/>
          <w:highlight w:val="none"/>
          <w:lang w:eastAsia="zh-CN"/>
        </w:rPr>
        <w:t>出部分</w:t>
      </w:r>
      <w:r>
        <w:rPr>
          <w:rFonts w:hint="eastAsia" w:ascii="仿宋_GB2312" w:hAnsi="仿宋_GB2312" w:eastAsia="仿宋_GB2312" w:cs="仿宋_GB2312"/>
          <w:color w:val="auto"/>
          <w:spacing w:val="0"/>
          <w:position w:val="0"/>
          <w:sz w:val="32"/>
          <w:szCs w:val="32"/>
          <w:highlight w:val="none"/>
        </w:rPr>
        <w:t>的50%</w:t>
      </w:r>
      <w:r>
        <w:rPr>
          <w:rFonts w:hint="eastAsia" w:ascii="仿宋_GB2312" w:hAnsi="仿宋_GB2312" w:eastAsia="仿宋_GB2312" w:cs="仿宋_GB2312"/>
          <w:color w:val="auto"/>
          <w:spacing w:val="0"/>
          <w:position w:val="0"/>
          <w:sz w:val="32"/>
          <w:szCs w:val="32"/>
          <w:highlight w:val="none"/>
          <w:lang w:eastAsia="zh-CN"/>
        </w:rPr>
        <w:t>折算其</w:t>
      </w:r>
      <w:r>
        <w:rPr>
          <w:rFonts w:hint="eastAsia" w:ascii="仿宋_GB2312" w:hAnsi="仿宋_GB2312" w:eastAsia="仿宋_GB2312" w:cs="仿宋_GB2312"/>
          <w:color w:val="auto"/>
          <w:spacing w:val="0"/>
          <w:position w:val="0"/>
          <w:sz w:val="32"/>
          <w:szCs w:val="32"/>
          <w:highlight w:val="none"/>
        </w:rPr>
        <w:t>给付的供养费。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楷体_GB2312" w:hAnsi="楷体_GB2312" w:eastAsia="楷体_GB2312" w:cs="楷体_GB2312"/>
          <w:b/>
          <w:bCs/>
          <w:color w:val="auto"/>
          <w:spacing w:val="0"/>
          <w:position w:val="0"/>
          <w:sz w:val="32"/>
          <w:szCs w:val="32"/>
          <w:highlight w:val="none"/>
          <w:lang w:eastAsia="zh-CN"/>
        </w:rPr>
      </w:pPr>
      <w:r>
        <w:rPr>
          <w:rFonts w:hint="eastAsia" w:ascii="楷体_GB2312" w:hAnsi="楷体_GB2312" w:eastAsia="楷体_GB2312" w:cs="楷体_GB2312"/>
          <w:b/>
          <w:bCs/>
          <w:color w:val="auto"/>
          <w:spacing w:val="0"/>
          <w:position w:val="0"/>
          <w:sz w:val="32"/>
          <w:szCs w:val="32"/>
          <w:highlight w:val="none"/>
        </w:rPr>
        <w:t>2.</w:t>
      </w:r>
      <w:r>
        <w:rPr>
          <w:rFonts w:hint="eastAsia" w:ascii="楷体_GB2312" w:hAnsi="楷体_GB2312" w:eastAsia="楷体_GB2312" w:cs="楷体_GB2312"/>
          <w:b/>
          <w:bCs/>
          <w:color w:val="auto"/>
          <w:spacing w:val="0"/>
          <w:position w:val="0"/>
          <w:sz w:val="32"/>
          <w:szCs w:val="32"/>
          <w:highlight w:val="none"/>
          <w:lang w:eastAsia="zh-CN"/>
        </w:rPr>
        <w:t>完善</w:t>
      </w:r>
      <w:r>
        <w:rPr>
          <w:rFonts w:hint="eastAsia" w:ascii="楷体_GB2312" w:hAnsi="楷体_GB2312" w:eastAsia="楷体_GB2312" w:cs="楷体_GB2312"/>
          <w:b/>
          <w:bCs/>
          <w:color w:val="auto"/>
          <w:spacing w:val="0"/>
          <w:position w:val="0"/>
          <w:sz w:val="32"/>
          <w:szCs w:val="32"/>
          <w:highlight w:val="none"/>
        </w:rPr>
        <w:t>特殊对象收入豁免范围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u w:val="none"/>
          <w:lang w:val="en-US" w:eastAsia="zh-CN"/>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1</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年满60周岁的老年人</w:t>
      </w:r>
      <w:r>
        <w:rPr>
          <w:rFonts w:hint="eastAsia" w:ascii="仿宋_GB2312" w:hAnsi="仿宋_GB2312" w:eastAsia="仿宋_GB2312" w:cs="仿宋_GB2312"/>
          <w:b w:val="0"/>
          <w:bCs w:val="0"/>
          <w:color w:val="auto"/>
          <w:spacing w:val="0"/>
          <w:position w:val="0"/>
          <w:sz w:val="32"/>
          <w:szCs w:val="32"/>
          <w:highlight w:val="none"/>
          <w:lang w:eastAsia="zh-CN"/>
        </w:rPr>
        <w:t>打零工</w:t>
      </w:r>
      <w:r>
        <w:rPr>
          <w:rFonts w:hint="eastAsia" w:ascii="仿宋_GB2312" w:hAnsi="仿宋_GB2312" w:eastAsia="仿宋_GB2312" w:cs="仿宋_GB2312"/>
          <w:b w:val="0"/>
          <w:bCs w:val="0"/>
          <w:color w:val="auto"/>
          <w:spacing w:val="0"/>
          <w:position w:val="0"/>
          <w:sz w:val="32"/>
          <w:szCs w:val="32"/>
          <w:highlight w:val="none"/>
        </w:rPr>
        <w:t>收入、土地流转、自</w:t>
      </w:r>
      <w:r>
        <w:rPr>
          <w:rFonts w:hint="eastAsia" w:ascii="仿宋_GB2312" w:hAnsi="仿宋_GB2312" w:eastAsia="仿宋_GB2312" w:cs="仿宋_GB2312"/>
          <w:b w:val="0"/>
          <w:bCs w:val="0"/>
          <w:color w:val="auto"/>
          <w:spacing w:val="0"/>
          <w:position w:val="0"/>
          <w:sz w:val="32"/>
          <w:szCs w:val="32"/>
          <w:highlight w:val="none"/>
          <w:lang w:eastAsia="zh-CN"/>
        </w:rPr>
        <w:t>给</w:t>
      </w:r>
      <w:r>
        <w:rPr>
          <w:rFonts w:hint="eastAsia" w:ascii="仿宋_GB2312" w:hAnsi="仿宋_GB2312" w:eastAsia="仿宋_GB2312" w:cs="仿宋_GB2312"/>
          <w:b w:val="0"/>
          <w:bCs w:val="0"/>
          <w:color w:val="auto"/>
          <w:spacing w:val="0"/>
          <w:position w:val="0"/>
          <w:sz w:val="32"/>
          <w:szCs w:val="32"/>
          <w:highlight w:val="none"/>
        </w:rPr>
        <w:t>自</w:t>
      </w:r>
      <w:r>
        <w:rPr>
          <w:rFonts w:hint="eastAsia" w:ascii="仿宋_GB2312" w:hAnsi="仿宋_GB2312" w:eastAsia="仿宋_GB2312" w:cs="仿宋_GB2312"/>
          <w:b w:val="0"/>
          <w:bCs w:val="0"/>
          <w:color w:val="auto"/>
          <w:spacing w:val="0"/>
          <w:position w:val="0"/>
          <w:sz w:val="32"/>
          <w:szCs w:val="32"/>
          <w:highlight w:val="none"/>
          <w:lang w:eastAsia="zh-CN"/>
        </w:rPr>
        <w:t>足种植（养殖）</w:t>
      </w:r>
      <w:r>
        <w:rPr>
          <w:rFonts w:hint="eastAsia" w:ascii="仿宋_GB2312" w:hAnsi="仿宋_GB2312" w:eastAsia="仿宋_GB2312" w:cs="仿宋_GB2312"/>
          <w:b w:val="0"/>
          <w:bCs w:val="0"/>
          <w:color w:val="auto"/>
          <w:spacing w:val="0"/>
          <w:position w:val="0"/>
          <w:sz w:val="32"/>
          <w:szCs w:val="32"/>
          <w:highlight w:val="none"/>
        </w:rPr>
        <w:t>等</w:t>
      </w:r>
      <w:r>
        <w:rPr>
          <w:rFonts w:hint="eastAsia" w:ascii="仿宋_GB2312" w:hAnsi="仿宋_GB2312" w:eastAsia="仿宋_GB2312" w:cs="仿宋_GB2312"/>
          <w:b w:val="0"/>
          <w:bCs w:val="0"/>
          <w:color w:val="auto"/>
          <w:spacing w:val="0"/>
          <w:position w:val="0"/>
          <w:sz w:val="32"/>
          <w:szCs w:val="32"/>
          <w:highlight w:val="none"/>
          <w:lang w:eastAsia="zh-CN"/>
        </w:rPr>
        <w:t>合计</w:t>
      </w:r>
      <w:r>
        <w:rPr>
          <w:rFonts w:hint="eastAsia" w:ascii="仿宋_GB2312" w:hAnsi="仿宋_GB2312" w:eastAsia="仿宋_GB2312" w:cs="仿宋_GB2312"/>
          <w:b w:val="0"/>
          <w:bCs w:val="0"/>
          <w:color w:val="auto"/>
          <w:spacing w:val="0"/>
          <w:position w:val="0"/>
          <w:sz w:val="32"/>
          <w:szCs w:val="32"/>
          <w:highlight w:val="none"/>
        </w:rPr>
        <w:t>收入低于最低生活保障标准的</w:t>
      </w:r>
      <w:r>
        <w:rPr>
          <w:rFonts w:hint="eastAsia" w:ascii="仿宋_GB2312" w:hAnsi="仿宋_GB2312" w:eastAsia="仿宋_GB2312" w:cs="仿宋_GB2312"/>
          <w:b w:val="0"/>
          <w:bCs w:val="0"/>
          <w:color w:val="auto"/>
          <w:spacing w:val="0"/>
          <w:position w:val="0"/>
          <w:sz w:val="32"/>
          <w:szCs w:val="32"/>
          <w:highlight w:val="none"/>
          <w:lang w:eastAsia="zh-CN"/>
        </w:rPr>
        <w:t>，在申请和享受低保期间予以</w:t>
      </w:r>
      <w:r>
        <w:rPr>
          <w:rFonts w:hint="eastAsia" w:ascii="仿宋_GB2312" w:hAnsi="仿宋_GB2312" w:eastAsia="仿宋_GB2312" w:cs="仿宋_GB2312"/>
          <w:b w:val="0"/>
          <w:bCs w:val="0"/>
          <w:color w:val="auto"/>
          <w:spacing w:val="0"/>
          <w:position w:val="0"/>
          <w:sz w:val="32"/>
          <w:szCs w:val="32"/>
          <w:highlight w:val="none"/>
        </w:rPr>
        <w:t>豁免</w:t>
      </w:r>
      <w:r>
        <w:rPr>
          <w:rFonts w:hint="eastAsia" w:ascii="仿宋_GB2312" w:hAnsi="仿宋_GB2312" w:eastAsia="仿宋_GB2312" w:cs="仿宋_GB2312"/>
          <w:b w:val="0"/>
          <w:bCs w:val="0"/>
          <w:color w:val="auto"/>
          <w:spacing w:val="0"/>
          <w:position w:val="0"/>
          <w:sz w:val="32"/>
          <w:szCs w:val="32"/>
          <w:highlight w:val="none"/>
          <w:lang w:val="en-US" w:eastAsia="zh-CN"/>
        </w:rPr>
        <w:t>。</w:t>
      </w:r>
      <w:r>
        <w:rPr>
          <w:rFonts w:hint="eastAsia" w:ascii="仿宋_GB2312" w:hAnsi="仿宋_GB2312" w:eastAsia="仿宋_GB2312" w:cs="仿宋_GB2312"/>
          <w:b w:val="0"/>
          <w:bCs w:val="0"/>
          <w:color w:val="auto"/>
          <w:spacing w:val="0"/>
          <w:position w:val="0"/>
          <w:sz w:val="32"/>
          <w:szCs w:val="32"/>
          <w:highlight w:val="none"/>
        </w:rPr>
        <w:t>年满</w:t>
      </w:r>
      <w:r>
        <w:rPr>
          <w:rFonts w:hint="eastAsia" w:ascii="仿宋_GB2312" w:hAnsi="仿宋_GB2312" w:eastAsia="仿宋_GB2312" w:cs="仿宋_GB2312"/>
          <w:b w:val="0"/>
          <w:bCs w:val="0"/>
          <w:color w:val="auto"/>
          <w:spacing w:val="0"/>
          <w:position w:val="0"/>
          <w:sz w:val="32"/>
          <w:szCs w:val="32"/>
          <w:highlight w:val="none"/>
          <w:lang w:val="en-US" w:eastAsia="zh-CN"/>
        </w:rPr>
        <w:t>7</w:t>
      </w:r>
      <w:r>
        <w:rPr>
          <w:rFonts w:hint="eastAsia" w:ascii="仿宋_GB2312" w:hAnsi="仿宋_GB2312" w:eastAsia="仿宋_GB2312" w:cs="仿宋_GB2312"/>
          <w:b w:val="0"/>
          <w:bCs w:val="0"/>
          <w:color w:val="auto"/>
          <w:spacing w:val="0"/>
          <w:position w:val="0"/>
          <w:sz w:val="32"/>
          <w:szCs w:val="32"/>
          <w:highlight w:val="none"/>
        </w:rPr>
        <w:t>0周岁的老年人</w:t>
      </w:r>
      <w:r>
        <w:rPr>
          <w:rFonts w:hint="eastAsia" w:ascii="仿宋_GB2312" w:hAnsi="仿宋_GB2312" w:eastAsia="仿宋_GB2312" w:cs="仿宋_GB2312"/>
          <w:b w:val="0"/>
          <w:bCs w:val="0"/>
          <w:color w:val="auto"/>
          <w:spacing w:val="0"/>
          <w:position w:val="0"/>
          <w:sz w:val="32"/>
          <w:szCs w:val="32"/>
          <w:highlight w:val="none"/>
          <w:lang w:eastAsia="zh-CN"/>
        </w:rPr>
        <w:t>打零工</w:t>
      </w:r>
      <w:r>
        <w:rPr>
          <w:rFonts w:hint="eastAsia" w:ascii="仿宋_GB2312" w:hAnsi="仿宋_GB2312" w:eastAsia="仿宋_GB2312" w:cs="仿宋_GB2312"/>
          <w:b w:val="0"/>
          <w:bCs w:val="0"/>
          <w:color w:val="auto"/>
          <w:spacing w:val="0"/>
          <w:position w:val="0"/>
          <w:sz w:val="32"/>
          <w:szCs w:val="32"/>
          <w:highlight w:val="none"/>
        </w:rPr>
        <w:t>收入</w:t>
      </w:r>
      <w:r>
        <w:rPr>
          <w:rFonts w:hint="eastAsia" w:ascii="仿宋_GB2312" w:hAnsi="仿宋_GB2312" w:eastAsia="仿宋_GB2312" w:cs="仿宋_GB2312"/>
          <w:b w:val="0"/>
          <w:bCs w:val="0"/>
          <w:color w:val="auto"/>
          <w:spacing w:val="0"/>
          <w:position w:val="0"/>
          <w:sz w:val="32"/>
          <w:szCs w:val="32"/>
          <w:highlight w:val="none"/>
          <w:lang w:eastAsia="zh-CN"/>
        </w:rPr>
        <w:t>，在申请和享受低保期间予以</w:t>
      </w:r>
      <w:r>
        <w:rPr>
          <w:rFonts w:hint="eastAsia" w:ascii="仿宋_GB2312" w:hAnsi="仿宋_GB2312" w:eastAsia="仿宋_GB2312" w:cs="仿宋_GB2312"/>
          <w:b w:val="0"/>
          <w:bCs w:val="0"/>
          <w:color w:val="auto"/>
          <w:spacing w:val="0"/>
          <w:position w:val="0"/>
          <w:sz w:val="32"/>
          <w:szCs w:val="32"/>
          <w:highlight w:val="none"/>
        </w:rPr>
        <w:t>豁免</w:t>
      </w:r>
      <w:r>
        <w:rPr>
          <w:rFonts w:hint="eastAsia" w:ascii="仿宋_GB2312" w:hAnsi="仿宋_GB2312" w:eastAsia="仿宋_GB2312" w:cs="仿宋_GB2312"/>
          <w:b w:val="0"/>
          <w:bCs w:val="0"/>
          <w:color w:val="auto"/>
          <w:spacing w:val="0"/>
          <w:position w:val="0"/>
          <w:sz w:val="32"/>
          <w:szCs w:val="32"/>
          <w:highlight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lang w:eastAsia="zh-CN"/>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lang w:val="en-US" w:eastAsia="zh-CN"/>
        </w:rPr>
        <w:t>2</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一级、二级残疾人和三级精神、三级智力残疾人每月所得就业收入，</w:t>
      </w:r>
      <w:r>
        <w:rPr>
          <w:rFonts w:hint="eastAsia" w:ascii="仿宋_GB2312" w:hAnsi="仿宋_GB2312" w:eastAsia="仿宋_GB2312" w:cs="仿宋_GB2312"/>
          <w:b w:val="0"/>
          <w:bCs w:val="0"/>
          <w:color w:val="auto"/>
          <w:spacing w:val="0"/>
          <w:position w:val="0"/>
          <w:sz w:val="32"/>
          <w:szCs w:val="32"/>
          <w:highlight w:val="none"/>
          <w:lang w:eastAsia="zh-CN"/>
        </w:rPr>
        <w:t>低于</w:t>
      </w:r>
      <w:r>
        <w:rPr>
          <w:rFonts w:hint="eastAsia" w:ascii="仿宋_GB2312" w:hAnsi="仿宋_GB2312" w:eastAsia="仿宋_GB2312" w:cs="仿宋_GB2312"/>
          <w:b w:val="0"/>
          <w:bCs w:val="0"/>
          <w:color w:val="auto"/>
          <w:spacing w:val="0"/>
          <w:position w:val="0"/>
          <w:sz w:val="32"/>
          <w:szCs w:val="32"/>
          <w:highlight w:val="none"/>
        </w:rPr>
        <w:t>最低生活保障标准</w:t>
      </w:r>
      <w:r>
        <w:rPr>
          <w:rFonts w:hint="eastAsia" w:ascii="仿宋_GB2312" w:hAnsi="仿宋_GB2312" w:eastAsia="仿宋_GB2312" w:cs="仿宋_GB2312"/>
          <w:b w:val="0"/>
          <w:bCs w:val="0"/>
          <w:color w:val="auto"/>
          <w:spacing w:val="0"/>
          <w:position w:val="0"/>
          <w:sz w:val="32"/>
          <w:szCs w:val="32"/>
          <w:highlight w:val="none"/>
          <w:lang w:eastAsia="zh-CN"/>
        </w:rPr>
        <w:t>的，在申请和享受低保期间予以豁免；</w:t>
      </w:r>
      <w:r>
        <w:rPr>
          <w:rFonts w:hint="eastAsia" w:ascii="仿宋_GB2312" w:hAnsi="仿宋_GB2312" w:eastAsia="仿宋_GB2312" w:cs="仿宋_GB2312"/>
          <w:b w:val="0"/>
          <w:bCs w:val="0"/>
          <w:color w:val="auto"/>
          <w:spacing w:val="0"/>
          <w:position w:val="0"/>
          <w:sz w:val="32"/>
          <w:szCs w:val="32"/>
          <w:highlight w:val="none"/>
        </w:rPr>
        <w:t>其他三级</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四级残疾人每月所得就业收入，</w:t>
      </w:r>
      <w:r>
        <w:rPr>
          <w:rFonts w:hint="eastAsia" w:ascii="仿宋_GB2312" w:hAnsi="仿宋_GB2312" w:eastAsia="仿宋_GB2312" w:cs="仿宋_GB2312"/>
          <w:b w:val="0"/>
          <w:bCs w:val="0"/>
          <w:color w:val="auto"/>
          <w:spacing w:val="0"/>
          <w:position w:val="0"/>
          <w:sz w:val="32"/>
          <w:szCs w:val="32"/>
          <w:highlight w:val="none"/>
          <w:lang w:eastAsia="zh-CN"/>
        </w:rPr>
        <w:t>低于</w:t>
      </w:r>
      <w:r>
        <w:rPr>
          <w:rFonts w:hint="eastAsia" w:ascii="仿宋_GB2312" w:hAnsi="仿宋_GB2312" w:eastAsia="仿宋_GB2312" w:cs="仿宋_GB2312"/>
          <w:b w:val="0"/>
          <w:bCs w:val="0"/>
          <w:color w:val="auto"/>
          <w:spacing w:val="0"/>
          <w:position w:val="0"/>
          <w:sz w:val="32"/>
          <w:szCs w:val="32"/>
          <w:highlight w:val="none"/>
        </w:rPr>
        <w:t>最低生活保障标准</w:t>
      </w:r>
      <w:r>
        <w:rPr>
          <w:rFonts w:hint="eastAsia" w:ascii="仿宋_GB2312" w:hAnsi="仿宋_GB2312" w:eastAsia="仿宋_GB2312" w:cs="仿宋_GB2312"/>
          <w:b w:val="0"/>
          <w:bCs w:val="0"/>
          <w:color w:val="auto"/>
          <w:spacing w:val="0"/>
          <w:position w:val="0"/>
          <w:sz w:val="32"/>
          <w:szCs w:val="32"/>
          <w:highlight w:val="none"/>
          <w:lang w:val="en-US" w:eastAsia="zh-CN"/>
        </w:rPr>
        <w:t>50%</w:t>
      </w:r>
      <w:r>
        <w:rPr>
          <w:rFonts w:hint="eastAsia" w:ascii="仿宋_GB2312" w:hAnsi="仿宋_GB2312" w:eastAsia="仿宋_GB2312" w:cs="仿宋_GB2312"/>
          <w:b w:val="0"/>
          <w:bCs w:val="0"/>
          <w:color w:val="auto"/>
          <w:spacing w:val="0"/>
          <w:position w:val="0"/>
          <w:sz w:val="32"/>
          <w:szCs w:val="32"/>
          <w:highlight w:val="none"/>
          <w:lang w:eastAsia="zh-CN"/>
        </w:rPr>
        <w:t>的部分，在申请和享受低保期间予以豁免</w:t>
      </w:r>
      <w:r>
        <w:rPr>
          <w:rFonts w:hint="eastAsia" w:ascii="仿宋_GB2312" w:hAnsi="仿宋_GB2312" w:eastAsia="仿宋_GB2312" w:cs="仿宋_GB2312"/>
          <w:b w:val="0"/>
          <w:bCs w:val="0"/>
          <w:color w:val="auto"/>
          <w:spacing w:val="0"/>
          <w:position w:val="0"/>
          <w:sz w:val="32"/>
          <w:szCs w:val="32"/>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lang w:eastAsia="zh-CN"/>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lang w:val="en-US" w:eastAsia="zh-CN"/>
        </w:rPr>
        <w:t>3</w:t>
      </w:r>
      <w:r>
        <w:rPr>
          <w:rFonts w:hint="eastAsia" w:ascii="仿宋_GB2312" w:hAnsi="仿宋_GB2312" w:eastAsia="仿宋_GB2312" w:cs="仿宋_GB2312"/>
          <w:b w:val="0"/>
          <w:bCs w:val="0"/>
          <w:color w:val="auto"/>
          <w:spacing w:val="0"/>
          <w:position w:val="0"/>
          <w:sz w:val="32"/>
          <w:szCs w:val="32"/>
          <w:highlight w:val="none"/>
          <w:lang w:eastAsia="zh-CN"/>
        </w:rPr>
        <w:t>）申请人</w:t>
      </w:r>
      <w:r>
        <w:rPr>
          <w:rFonts w:hint="eastAsia" w:ascii="仿宋_GB2312" w:hAnsi="仿宋_GB2312" w:eastAsia="仿宋_GB2312" w:cs="仿宋_GB2312"/>
          <w:b w:val="0"/>
          <w:bCs w:val="0"/>
          <w:color w:val="auto"/>
          <w:spacing w:val="0"/>
          <w:position w:val="0"/>
          <w:sz w:val="32"/>
          <w:szCs w:val="32"/>
          <w:highlight w:val="none"/>
        </w:rPr>
        <w:t>家庭的孙辈子女年收入低于本市上年度当地城乡居民人均可支配收入的，豁免计算其依法应当给付祖辈的赡养费；高</w:t>
      </w:r>
      <w:r>
        <w:rPr>
          <w:rFonts w:hint="eastAsia" w:ascii="仿宋_GB2312" w:hAnsi="仿宋_GB2312" w:eastAsia="仿宋_GB2312" w:cs="仿宋_GB2312"/>
          <w:b w:val="0"/>
          <w:bCs w:val="0"/>
          <w:color w:val="auto"/>
          <w:spacing w:val="0"/>
          <w:position w:val="0"/>
          <w:sz w:val="32"/>
          <w:szCs w:val="32"/>
          <w:highlight w:val="none"/>
          <w:lang w:eastAsia="zh-CN"/>
        </w:rPr>
        <w:t>出部分</w:t>
      </w:r>
      <w:r>
        <w:rPr>
          <w:rFonts w:hint="eastAsia" w:ascii="仿宋_GB2312" w:hAnsi="仿宋_GB2312" w:eastAsia="仿宋_GB2312" w:cs="仿宋_GB2312"/>
          <w:b w:val="0"/>
          <w:bCs w:val="0"/>
          <w:color w:val="auto"/>
          <w:spacing w:val="0"/>
          <w:position w:val="0"/>
          <w:sz w:val="32"/>
          <w:szCs w:val="32"/>
          <w:highlight w:val="none"/>
        </w:rPr>
        <w:t>的50%</w:t>
      </w:r>
      <w:r>
        <w:rPr>
          <w:rFonts w:hint="eastAsia" w:ascii="仿宋_GB2312" w:hAnsi="仿宋_GB2312" w:eastAsia="仿宋_GB2312" w:cs="仿宋_GB2312"/>
          <w:b w:val="0"/>
          <w:bCs w:val="0"/>
          <w:color w:val="auto"/>
          <w:spacing w:val="0"/>
          <w:position w:val="0"/>
          <w:sz w:val="32"/>
          <w:szCs w:val="32"/>
          <w:highlight w:val="none"/>
          <w:lang w:eastAsia="zh-CN"/>
        </w:rPr>
        <w:t>折算其应</w:t>
      </w:r>
      <w:r>
        <w:rPr>
          <w:rFonts w:hint="eastAsia" w:ascii="仿宋_GB2312" w:hAnsi="仿宋_GB2312" w:eastAsia="仿宋_GB2312" w:cs="仿宋_GB2312"/>
          <w:b w:val="0"/>
          <w:bCs w:val="0"/>
          <w:color w:val="auto"/>
          <w:spacing w:val="0"/>
          <w:position w:val="0"/>
          <w:sz w:val="32"/>
          <w:szCs w:val="32"/>
          <w:highlight w:val="none"/>
        </w:rPr>
        <w:t>给付的赡养费</w:t>
      </w:r>
      <w:r>
        <w:rPr>
          <w:rFonts w:hint="eastAsia" w:ascii="仿宋_GB2312" w:hAnsi="仿宋_GB2312" w:eastAsia="仿宋_GB2312" w:cs="仿宋_GB2312"/>
          <w:b w:val="0"/>
          <w:bCs w:val="0"/>
          <w:color w:val="auto"/>
          <w:spacing w:val="0"/>
          <w:position w:val="0"/>
          <w:sz w:val="32"/>
          <w:szCs w:val="32"/>
          <w:highlight w:val="none"/>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lang w:eastAsia="zh-CN"/>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lang w:val="en-US" w:eastAsia="zh-CN"/>
        </w:rPr>
        <w:t>4</w:t>
      </w:r>
      <w:r>
        <w:rPr>
          <w:rFonts w:hint="eastAsia" w:ascii="仿宋_GB2312" w:hAnsi="仿宋_GB2312" w:eastAsia="仿宋_GB2312" w:cs="仿宋_GB2312"/>
          <w:b w:val="0"/>
          <w:bCs w:val="0"/>
          <w:color w:val="auto"/>
          <w:spacing w:val="0"/>
          <w:position w:val="0"/>
          <w:sz w:val="32"/>
          <w:szCs w:val="32"/>
          <w:highlight w:val="none"/>
          <w:lang w:eastAsia="zh-CN"/>
        </w:rPr>
        <w:t>）在校生勤工俭学、实习期间收入低于最低生活保障标准的，予以</w:t>
      </w:r>
      <w:r>
        <w:rPr>
          <w:rFonts w:hint="eastAsia" w:ascii="仿宋_GB2312" w:hAnsi="仿宋_GB2312" w:eastAsia="仿宋_GB2312" w:cs="仿宋_GB2312"/>
          <w:b w:val="0"/>
          <w:bCs w:val="0"/>
          <w:color w:val="auto"/>
          <w:spacing w:val="0"/>
          <w:position w:val="0"/>
          <w:sz w:val="32"/>
          <w:szCs w:val="32"/>
          <w:highlight w:val="none"/>
        </w:rPr>
        <w:t>豁免</w:t>
      </w:r>
      <w:r>
        <w:rPr>
          <w:rFonts w:hint="eastAsia" w:ascii="仿宋_GB2312" w:hAnsi="仿宋_GB2312" w:eastAsia="仿宋_GB2312" w:cs="仿宋_GB2312"/>
          <w:b w:val="0"/>
          <w:bCs w:val="0"/>
          <w:color w:val="auto"/>
          <w:spacing w:val="0"/>
          <w:position w:val="0"/>
          <w:sz w:val="32"/>
          <w:szCs w:val="32"/>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楷体_GB2312" w:hAnsi="楷体_GB2312" w:eastAsia="楷体_GB2312" w:cs="楷体_GB2312"/>
          <w:b/>
          <w:bCs/>
          <w:color w:val="auto"/>
          <w:spacing w:val="0"/>
          <w:position w:val="0"/>
          <w:sz w:val="32"/>
          <w:szCs w:val="32"/>
          <w:highlight w:val="none"/>
        </w:rPr>
      </w:pPr>
      <w:r>
        <w:rPr>
          <w:rFonts w:hint="eastAsia" w:ascii="楷体_GB2312" w:hAnsi="楷体_GB2312" w:eastAsia="楷体_GB2312" w:cs="楷体_GB2312"/>
          <w:b/>
          <w:bCs/>
          <w:color w:val="auto"/>
          <w:spacing w:val="0"/>
          <w:position w:val="0"/>
          <w:sz w:val="32"/>
          <w:szCs w:val="32"/>
          <w:highlight w:val="none"/>
        </w:rPr>
        <w:t>3.鼓励新增劳动力就业、创业</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申请或在保家庭成员新就业创业产生的必要就业成本</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如参加培训、租赁房屋</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在申请和享受低保期</w:t>
      </w:r>
      <w:r>
        <w:rPr>
          <w:rFonts w:hint="eastAsia" w:ascii="仿宋_GB2312" w:hAnsi="仿宋_GB2312" w:eastAsia="仿宋_GB2312" w:cs="仿宋_GB2312"/>
          <w:color w:val="auto"/>
          <w:spacing w:val="0"/>
          <w:position w:val="0"/>
          <w:sz w:val="32"/>
          <w:szCs w:val="32"/>
          <w:highlight w:val="none"/>
          <w:lang w:eastAsia="zh-CN"/>
        </w:rPr>
        <w:t>两年内</w:t>
      </w:r>
      <w:r>
        <w:rPr>
          <w:rFonts w:hint="eastAsia" w:ascii="仿宋_GB2312" w:hAnsi="仿宋_GB2312" w:eastAsia="仿宋_GB2312" w:cs="仿宋_GB2312"/>
          <w:color w:val="auto"/>
          <w:spacing w:val="0"/>
          <w:position w:val="0"/>
          <w:sz w:val="32"/>
          <w:szCs w:val="32"/>
          <w:highlight w:val="none"/>
        </w:rPr>
        <w:t>可按最低生活保障标准的</w:t>
      </w:r>
      <w:r>
        <w:rPr>
          <w:rFonts w:hint="eastAsia" w:ascii="仿宋_GB2312" w:hAnsi="仿宋_GB2312" w:eastAsia="仿宋_GB2312" w:cs="仿宋_GB2312"/>
          <w:color w:val="auto"/>
          <w:spacing w:val="0"/>
          <w:position w:val="0"/>
          <w:sz w:val="32"/>
          <w:szCs w:val="32"/>
          <w:highlight w:val="none"/>
          <w:u w:val="none"/>
        </w:rPr>
        <w:t>1倍，</w:t>
      </w:r>
      <w:r>
        <w:rPr>
          <w:rFonts w:hint="eastAsia" w:ascii="仿宋_GB2312" w:hAnsi="仿宋_GB2312" w:eastAsia="仿宋_GB2312" w:cs="仿宋_GB2312"/>
          <w:color w:val="auto"/>
          <w:spacing w:val="0"/>
          <w:position w:val="0"/>
          <w:sz w:val="32"/>
          <w:szCs w:val="32"/>
          <w:highlight w:val="none"/>
        </w:rPr>
        <w:t>在每月就业、创业收入中进行扣减。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rPr>
      </w:pPr>
      <w:r>
        <w:rPr>
          <w:rFonts w:hint="eastAsia" w:ascii="黑体" w:hAnsi="黑体" w:eastAsia="黑体" w:cs="黑体"/>
          <w:color w:val="auto"/>
          <w:spacing w:val="0"/>
          <w:position w:val="0"/>
          <w:sz w:val="32"/>
          <w:szCs w:val="32"/>
          <w:highlight w:val="none"/>
        </w:rPr>
        <w:t>三、明确家庭刚性支出扣减标准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申请人家庭如实提供了劳动年龄段内家庭成员收入证明或信息的，对家庭成员因学、因残、因病存在长期刚性支出的，</w:t>
      </w:r>
      <w:r>
        <w:rPr>
          <w:rFonts w:hint="eastAsia" w:ascii="仿宋_GB2312" w:hAnsi="仿宋_GB2312" w:eastAsia="仿宋_GB2312" w:cs="仿宋_GB2312"/>
          <w:b w:val="0"/>
          <w:bCs w:val="0"/>
          <w:color w:val="auto"/>
          <w:spacing w:val="0"/>
          <w:position w:val="0"/>
          <w:sz w:val="32"/>
          <w:szCs w:val="32"/>
          <w:highlight w:val="none"/>
        </w:rPr>
        <w:t>在计算其家庭总收入后，按最低生活保障标准</w:t>
      </w:r>
      <w:r>
        <w:rPr>
          <w:rFonts w:hint="eastAsia" w:ascii="仿宋_GB2312" w:hAnsi="仿宋_GB2312" w:eastAsia="仿宋_GB2312" w:cs="仿宋_GB2312"/>
          <w:b w:val="0"/>
          <w:bCs w:val="0"/>
          <w:color w:val="auto"/>
          <w:spacing w:val="0"/>
          <w:position w:val="0"/>
          <w:sz w:val="32"/>
          <w:szCs w:val="32"/>
          <w:highlight w:val="none"/>
          <w:lang w:eastAsia="zh-CN"/>
        </w:rPr>
        <w:t>的一定</w:t>
      </w:r>
      <w:r>
        <w:rPr>
          <w:rFonts w:hint="eastAsia" w:ascii="仿宋_GB2312" w:hAnsi="仿宋_GB2312" w:eastAsia="仿宋_GB2312" w:cs="仿宋_GB2312"/>
          <w:b w:val="0"/>
          <w:bCs w:val="0"/>
          <w:color w:val="auto"/>
          <w:spacing w:val="0"/>
          <w:position w:val="0"/>
          <w:sz w:val="32"/>
          <w:szCs w:val="32"/>
          <w:highlight w:val="none"/>
        </w:rPr>
        <w:t>比例按月扣减</w:t>
      </w:r>
      <w:r>
        <w:rPr>
          <w:rFonts w:hint="eastAsia" w:ascii="仿宋_GB2312" w:hAnsi="仿宋_GB2312" w:eastAsia="仿宋_GB2312" w:cs="仿宋_GB2312"/>
          <w:b w:val="0"/>
          <w:bCs w:val="0"/>
          <w:color w:val="auto"/>
          <w:spacing w:val="0"/>
          <w:position w:val="0"/>
          <w:sz w:val="32"/>
          <w:szCs w:val="32"/>
          <w:highlight w:val="none"/>
          <w:lang w:eastAsia="zh-CN"/>
        </w:rPr>
        <w:t>特殊对象的</w:t>
      </w:r>
      <w:r>
        <w:rPr>
          <w:rFonts w:hint="eastAsia" w:ascii="仿宋_GB2312" w:hAnsi="仿宋_GB2312" w:eastAsia="仿宋_GB2312" w:cs="仿宋_GB2312"/>
          <w:b w:val="0"/>
          <w:bCs w:val="0"/>
          <w:color w:val="auto"/>
          <w:spacing w:val="0"/>
          <w:position w:val="0"/>
          <w:sz w:val="32"/>
          <w:szCs w:val="32"/>
          <w:highlight w:val="none"/>
        </w:rPr>
        <w:t>刚性支出</w:t>
      </w:r>
      <w:r>
        <w:rPr>
          <w:rFonts w:hint="eastAsia" w:ascii="仿宋_GB2312" w:hAnsi="仿宋_GB2312" w:eastAsia="仿宋_GB2312" w:cs="仿宋_GB2312"/>
          <w:b w:val="0"/>
          <w:bCs w:val="0"/>
          <w:color w:val="auto"/>
          <w:spacing w:val="0"/>
          <w:position w:val="0"/>
          <w:sz w:val="32"/>
          <w:szCs w:val="32"/>
          <w:highlight w:val="none"/>
          <w:lang w:eastAsia="zh-CN"/>
        </w:rPr>
        <w:t>（按就高原则扣减，不重复累计）</w:t>
      </w:r>
      <w:r>
        <w:rPr>
          <w:rFonts w:hint="eastAsia" w:ascii="仿宋_GB2312" w:hAnsi="仿宋_GB2312" w:eastAsia="仿宋_GB2312" w:cs="仿宋_GB2312"/>
          <w:b w:val="0"/>
          <w:bCs w:val="0"/>
          <w:color w:val="auto"/>
          <w:spacing w:val="0"/>
          <w:position w:val="0"/>
          <w:sz w:val="32"/>
          <w:szCs w:val="32"/>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1</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在托幼、学前教育</w:t>
      </w:r>
      <w:r>
        <w:rPr>
          <w:rFonts w:hint="eastAsia" w:ascii="仿宋_GB2312" w:hAnsi="仿宋_GB2312" w:eastAsia="仿宋_GB2312" w:cs="仿宋_GB2312"/>
          <w:b w:val="0"/>
          <w:bCs w:val="0"/>
          <w:color w:val="auto"/>
          <w:spacing w:val="0"/>
          <w:position w:val="0"/>
          <w:sz w:val="32"/>
          <w:szCs w:val="32"/>
          <w:highlight w:val="none"/>
          <w:lang w:eastAsia="zh-CN"/>
        </w:rPr>
        <w:t>、小学、初中、</w:t>
      </w:r>
      <w:r>
        <w:rPr>
          <w:rFonts w:hint="eastAsia" w:ascii="仿宋_GB2312" w:hAnsi="仿宋_GB2312" w:eastAsia="仿宋_GB2312" w:cs="仿宋_GB2312"/>
          <w:b w:val="0"/>
          <w:bCs w:val="0"/>
          <w:color w:val="auto"/>
          <w:spacing w:val="0"/>
          <w:position w:val="0"/>
          <w:sz w:val="32"/>
          <w:szCs w:val="32"/>
          <w:highlight w:val="none"/>
        </w:rPr>
        <w:t>高中</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含中专</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的</w:t>
      </w: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按0.5倍扣减；在国内全日制大</w:t>
      </w:r>
      <w:r>
        <w:rPr>
          <w:rFonts w:hint="eastAsia" w:ascii="仿宋_GB2312" w:hAnsi="仿宋_GB2312" w:eastAsia="仿宋_GB2312" w:cs="仿宋_GB2312"/>
          <w:b w:val="0"/>
          <w:bCs w:val="0"/>
          <w:color w:val="auto"/>
          <w:spacing w:val="0"/>
          <w:position w:val="0"/>
          <w:sz w:val="32"/>
          <w:szCs w:val="32"/>
          <w:highlight w:val="none"/>
          <w:lang w:eastAsia="zh-CN"/>
        </w:rPr>
        <w:t>专、本科院校</w:t>
      </w:r>
      <w:r>
        <w:rPr>
          <w:rFonts w:hint="eastAsia" w:ascii="仿宋_GB2312" w:hAnsi="仿宋_GB2312" w:eastAsia="仿宋_GB2312" w:cs="仿宋_GB2312"/>
          <w:b w:val="0"/>
          <w:bCs w:val="0"/>
          <w:color w:val="auto"/>
          <w:spacing w:val="0"/>
          <w:position w:val="0"/>
          <w:sz w:val="32"/>
          <w:szCs w:val="32"/>
          <w:highlight w:val="none"/>
        </w:rPr>
        <w:t>就读的，按1倍扣减；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b w:val="0"/>
          <w:bCs w:val="0"/>
          <w:color w:val="auto"/>
          <w:spacing w:val="0"/>
          <w:position w:val="0"/>
          <w:sz w:val="32"/>
          <w:szCs w:val="32"/>
          <w:highlight w:val="none"/>
          <w:lang w:eastAsia="zh-CN"/>
        </w:rPr>
      </w:pPr>
      <w:r>
        <w:rPr>
          <w:rFonts w:hint="eastAsia" w:ascii="仿宋_GB2312" w:hAnsi="仿宋_GB2312" w:eastAsia="仿宋_GB2312" w:cs="仿宋_GB2312"/>
          <w:b w:val="0"/>
          <w:bCs w:val="0"/>
          <w:color w:val="auto"/>
          <w:spacing w:val="0"/>
          <w:position w:val="0"/>
          <w:sz w:val="32"/>
          <w:szCs w:val="32"/>
          <w:highlight w:val="none"/>
          <w:lang w:eastAsia="zh-CN"/>
        </w:rPr>
        <w:t>（</w:t>
      </w:r>
      <w:r>
        <w:rPr>
          <w:rFonts w:hint="eastAsia" w:ascii="仿宋_GB2312" w:hAnsi="仿宋_GB2312" w:eastAsia="仿宋_GB2312" w:cs="仿宋_GB2312"/>
          <w:b w:val="0"/>
          <w:bCs w:val="0"/>
          <w:color w:val="auto"/>
          <w:spacing w:val="0"/>
          <w:position w:val="0"/>
          <w:sz w:val="32"/>
          <w:szCs w:val="32"/>
          <w:highlight w:val="none"/>
        </w:rPr>
        <w:t>2</w:t>
      </w:r>
      <w:r>
        <w:rPr>
          <w:rFonts w:hint="eastAsia" w:ascii="仿宋_GB2312" w:hAnsi="仿宋_GB2312" w:eastAsia="仿宋_GB2312" w:cs="仿宋_GB2312"/>
          <w:b w:val="0"/>
          <w:bCs w:val="0"/>
          <w:color w:val="auto"/>
          <w:spacing w:val="0"/>
          <w:position w:val="0"/>
          <w:sz w:val="32"/>
          <w:szCs w:val="32"/>
          <w:highlight w:val="none"/>
          <w:lang w:eastAsia="zh-CN"/>
        </w:rPr>
        <w:t>）普通残疾的，</w:t>
      </w:r>
      <w:r>
        <w:rPr>
          <w:rFonts w:hint="eastAsia" w:ascii="仿宋_GB2312" w:hAnsi="仿宋_GB2312" w:eastAsia="仿宋_GB2312" w:cs="仿宋_GB2312"/>
          <w:b w:val="0"/>
          <w:bCs w:val="0"/>
          <w:color w:val="auto"/>
          <w:spacing w:val="0"/>
          <w:position w:val="0"/>
          <w:sz w:val="32"/>
          <w:szCs w:val="32"/>
          <w:highlight w:val="none"/>
        </w:rPr>
        <w:t>按1倍扣减；</w:t>
      </w:r>
      <w:r>
        <w:rPr>
          <w:rFonts w:hint="eastAsia" w:ascii="仿宋_GB2312" w:hAnsi="仿宋_GB2312" w:eastAsia="仿宋_GB2312" w:cs="仿宋_GB2312"/>
          <w:b w:val="0"/>
          <w:bCs w:val="0"/>
          <w:color w:val="auto"/>
          <w:spacing w:val="0"/>
          <w:position w:val="0"/>
          <w:sz w:val="32"/>
          <w:szCs w:val="32"/>
          <w:highlight w:val="none"/>
          <w:lang w:eastAsia="zh-CN"/>
        </w:rPr>
        <w:t>重残、重病的，</w:t>
      </w:r>
      <w:r>
        <w:rPr>
          <w:rFonts w:hint="eastAsia" w:ascii="仿宋_GB2312" w:hAnsi="仿宋_GB2312" w:eastAsia="仿宋_GB2312" w:cs="仿宋_GB2312"/>
          <w:b w:val="0"/>
          <w:bCs w:val="0"/>
          <w:color w:val="auto"/>
          <w:spacing w:val="0"/>
          <w:position w:val="0"/>
          <w:sz w:val="32"/>
          <w:szCs w:val="32"/>
          <w:highlight w:val="none"/>
        </w:rPr>
        <w:t>按2倍扣</w:t>
      </w:r>
      <w:r>
        <w:rPr>
          <w:rFonts w:hint="eastAsia" w:ascii="仿宋_GB2312" w:hAnsi="仿宋_GB2312" w:eastAsia="仿宋_GB2312" w:cs="仿宋_GB2312"/>
          <w:b w:val="0"/>
          <w:bCs w:val="0"/>
          <w:color w:val="auto"/>
          <w:spacing w:val="0"/>
          <w:position w:val="0"/>
          <w:sz w:val="32"/>
          <w:szCs w:val="32"/>
          <w:highlight w:val="none"/>
          <w:lang w:eastAsia="zh-CN"/>
        </w:rPr>
        <w:t>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lang w:eastAsia="zh-CN"/>
        </w:rPr>
      </w:pPr>
      <w:r>
        <w:rPr>
          <w:rFonts w:hint="eastAsia" w:ascii="黑体" w:hAnsi="黑体" w:eastAsia="黑体" w:cs="黑体"/>
          <w:color w:val="auto"/>
          <w:spacing w:val="0"/>
          <w:position w:val="0"/>
          <w:sz w:val="32"/>
          <w:szCs w:val="32"/>
          <w:highlight w:val="none"/>
        </w:rPr>
        <w:t>四、落实低保渐退缓退政策</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鼓励具备就业能力的低保对象积极就业</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对就业创业等使得家庭人均收入超过低保标准</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但低于低保标准2倍的</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自收入发生变动起的6个月内保留低保待遇</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家庭人均收入达到或超过低保标准2倍的</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自收入发生变动起一定期限内保留低保待遇</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最长不超过6个月</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渐退缓退期内</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维持原最低生活保障金不变</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同样享受低保对象的优惠减免政策</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对低保家庭中有重残重病人员的</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可以视情延长缓退期</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原则上不超过12个月</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低保家庭成员死亡后</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应当自其死亡之日起3个月内对其家庭状况进行核查</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并办理完成低保金增发</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减发</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停发等相关手续</w:t>
      </w:r>
      <w:r>
        <w:rPr>
          <w:rFonts w:hint="eastAsia" w:ascii="仿宋_GB2312" w:hAnsi="仿宋_GB2312" w:eastAsia="仿宋_GB2312" w:cs="仿宋_GB2312"/>
          <w:color w:val="auto"/>
          <w:spacing w:val="0"/>
          <w:position w:val="0"/>
          <w:sz w:val="32"/>
          <w:szCs w:val="32"/>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黑体" w:hAnsi="黑体" w:eastAsia="黑体" w:cs="黑体"/>
          <w:color w:val="auto"/>
          <w:spacing w:val="0"/>
          <w:position w:val="0"/>
          <w:sz w:val="32"/>
          <w:szCs w:val="32"/>
          <w:highlight w:val="none"/>
        </w:rPr>
      </w:pPr>
      <w:r>
        <w:rPr>
          <w:rFonts w:hint="eastAsia" w:ascii="黑体" w:hAnsi="黑体" w:eastAsia="黑体" w:cs="黑体"/>
          <w:color w:val="auto"/>
          <w:spacing w:val="0"/>
          <w:position w:val="0"/>
          <w:sz w:val="32"/>
          <w:szCs w:val="32"/>
          <w:highlight w:val="none"/>
        </w:rPr>
        <w:t>五、全面建立社会救助审核确认“一事一议”制度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各镇</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区、街道</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要全面制定镇级社会救助联席会议工作规程，对申请人家庭收入、财产等情况在复核后超出包含本规定在内的现有政策限制条件，但经调查后确实存在特殊困难，需要纳入社会救助范围的</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应通过镇级社会救助联席会议</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一事一议</w:t>
      </w:r>
      <w:r>
        <w:rPr>
          <w:rFonts w:hint="eastAsia" w:ascii="仿宋_GB2312" w:hAnsi="仿宋_GB2312" w:eastAsia="仿宋_GB2312" w:cs="仿宋_GB2312"/>
          <w:color w:val="auto"/>
          <w:spacing w:val="0"/>
          <w:position w:val="0"/>
          <w:sz w:val="32"/>
          <w:szCs w:val="32"/>
          <w:highlight w:val="none"/>
          <w:lang w:eastAsia="zh-CN"/>
        </w:rPr>
        <w:t>”</w:t>
      </w:r>
      <w:r>
        <w:rPr>
          <w:rFonts w:hint="eastAsia" w:ascii="仿宋_GB2312" w:hAnsi="仿宋_GB2312" w:eastAsia="仿宋_GB2312" w:cs="仿宋_GB2312"/>
          <w:color w:val="auto"/>
          <w:spacing w:val="0"/>
          <w:position w:val="0"/>
          <w:sz w:val="32"/>
          <w:szCs w:val="32"/>
          <w:highlight w:val="none"/>
        </w:rPr>
        <w:t>方式集体研究决定。</w:t>
      </w: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spacing w:line="298" w:lineRule="auto"/>
        <w:rPr>
          <w:rFonts w:hint="eastAsia" w:ascii="仿宋_GB2312" w:hAnsi="仿宋_GB2312" w:eastAsia="仿宋_GB2312" w:cs="仿宋_GB2312"/>
          <w:spacing w:val="0"/>
          <w:position w:val="0"/>
          <w:sz w:val="32"/>
          <w:szCs w:val="32"/>
        </w:rPr>
      </w:pPr>
    </w:p>
    <w:p>
      <w:pPr>
        <w:spacing w:before="101" w:line="226" w:lineRule="auto"/>
        <w:ind w:left="680"/>
        <w:rPr>
          <w:rFonts w:hint="eastAsia" w:ascii="仿宋_GB2312" w:hAnsi="仿宋_GB2312" w:eastAsia="仿宋_GB2312" w:cs="仿宋_GB2312"/>
          <w:spacing w:val="-20"/>
          <w:position w:val="0"/>
          <w:sz w:val="32"/>
          <w:szCs w:val="32"/>
        </w:rPr>
      </w:pPr>
      <w:r>
        <w:rPr>
          <w:rFonts w:hint="eastAsia" w:ascii="仿宋_GB2312" w:hAnsi="仿宋_GB2312" w:eastAsia="仿宋_GB2312" w:cs="仿宋_GB2312"/>
          <w:spacing w:val="0"/>
          <w:position w:val="0"/>
          <w:sz w:val="32"/>
          <w:szCs w:val="32"/>
          <w:lang w:eastAsia="zh-CN"/>
        </w:rPr>
        <w:t>启东市</w:t>
      </w:r>
      <w:r>
        <w:rPr>
          <w:rFonts w:hint="eastAsia" w:ascii="仿宋_GB2312" w:hAnsi="仿宋_GB2312" w:eastAsia="仿宋_GB2312" w:cs="仿宋_GB2312"/>
          <w:spacing w:val="0"/>
          <w:position w:val="0"/>
          <w:sz w:val="32"/>
          <w:szCs w:val="32"/>
        </w:rPr>
        <w:t>民政局</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20"/>
          <w:position w:val="0"/>
          <w:sz w:val="32"/>
          <w:szCs w:val="32"/>
        </w:rPr>
        <w:t>中共</w:t>
      </w:r>
      <w:r>
        <w:rPr>
          <w:rFonts w:hint="eastAsia" w:ascii="仿宋_GB2312" w:hAnsi="仿宋_GB2312" w:eastAsia="仿宋_GB2312" w:cs="仿宋_GB2312"/>
          <w:spacing w:val="-20"/>
          <w:position w:val="0"/>
          <w:sz w:val="32"/>
          <w:szCs w:val="32"/>
          <w:lang w:eastAsia="zh-CN"/>
        </w:rPr>
        <w:t>启东市</w:t>
      </w:r>
      <w:r>
        <w:rPr>
          <w:rFonts w:hint="eastAsia" w:ascii="仿宋_GB2312" w:hAnsi="仿宋_GB2312" w:eastAsia="仿宋_GB2312" w:cs="仿宋_GB2312"/>
          <w:spacing w:val="-20"/>
          <w:position w:val="0"/>
          <w:sz w:val="32"/>
          <w:szCs w:val="32"/>
        </w:rPr>
        <w:t>委农村工作领导小组办公室</w:t>
      </w:r>
    </w:p>
    <w:p>
      <w:pPr>
        <w:spacing w:line="250" w:lineRule="auto"/>
        <w:rPr>
          <w:rFonts w:hint="eastAsia" w:ascii="仿宋_GB2312" w:hAnsi="仿宋_GB2312" w:eastAsia="仿宋_GB2312" w:cs="仿宋_GB2312"/>
          <w:spacing w:val="0"/>
          <w:position w:val="0"/>
          <w:sz w:val="32"/>
          <w:szCs w:val="32"/>
        </w:rPr>
      </w:pPr>
    </w:p>
    <w:p>
      <w:pPr>
        <w:spacing w:line="250" w:lineRule="auto"/>
        <w:rPr>
          <w:rFonts w:hint="eastAsia" w:ascii="仿宋_GB2312" w:hAnsi="仿宋_GB2312" w:eastAsia="仿宋_GB2312" w:cs="仿宋_GB2312"/>
          <w:spacing w:val="0"/>
          <w:position w:val="0"/>
          <w:sz w:val="32"/>
          <w:szCs w:val="32"/>
        </w:rPr>
      </w:pPr>
    </w:p>
    <w:p>
      <w:pPr>
        <w:pStyle w:val="2"/>
        <w:rPr>
          <w:rFonts w:hint="eastAsia"/>
        </w:rPr>
      </w:pPr>
    </w:p>
    <w:p>
      <w:pPr>
        <w:pStyle w:val="2"/>
        <w:rPr>
          <w:rFonts w:hint="eastAsia"/>
        </w:rPr>
      </w:pPr>
    </w:p>
    <w:p>
      <w:pPr>
        <w:spacing w:line="250" w:lineRule="auto"/>
        <w:rPr>
          <w:rFonts w:hint="eastAsia" w:ascii="仿宋_GB2312" w:hAnsi="仿宋_GB2312" w:eastAsia="仿宋_GB2312" w:cs="仿宋_GB2312"/>
          <w:spacing w:val="0"/>
          <w:position w:val="0"/>
          <w:sz w:val="32"/>
          <w:szCs w:val="32"/>
        </w:rPr>
      </w:pPr>
    </w:p>
    <w:p>
      <w:pPr>
        <w:spacing w:before="101" w:line="222" w:lineRule="auto"/>
        <w:ind w:left="4830"/>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mc:AlternateContent>
          <mc:Choice Requires="wps">
            <w:drawing>
              <wp:anchor distT="0" distB="0" distL="114300" distR="114300" simplePos="0" relativeHeight="251659264" behindDoc="0" locked="0" layoutInCell="1" allowOverlap="1">
                <wp:simplePos x="0" y="0"/>
                <wp:positionH relativeFrom="column">
                  <wp:posOffset>419100</wp:posOffset>
                </wp:positionH>
                <wp:positionV relativeFrom="paragraph">
                  <wp:posOffset>52705</wp:posOffset>
                </wp:positionV>
                <wp:extent cx="1219200" cy="2635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19200" cy="263525"/>
                        </a:xfrm>
                        <a:prstGeom prst="rect">
                          <a:avLst/>
                        </a:prstGeom>
                        <a:noFill/>
                        <a:ln>
                          <a:noFill/>
                        </a:ln>
                      </wps:spPr>
                      <wps:txbx>
                        <w:txbxContent>
                          <w:p>
                            <w:pPr>
                              <w:spacing w:before="20" w:line="223" w:lineRule="auto"/>
                              <w:ind w:left="20"/>
                              <w:rPr>
                                <w:rFonts w:ascii="仿宋" w:hAnsi="仿宋" w:eastAsia="仿宋" w:cs="仿宋"/>
                                <w:sz w:val="31"/>
                                <w:szCs w:val="31"/>
                              </w:rPr>
                            </w:pPr>
                            <w:r>
                              <w:rPr>
                                <w:rFonts w:hint="eastAsia" w:ascii="仿宋" w:hAnsi="仿宋" w:eastAsia="仿宋" w:cs="仿宋"/>
                                <w:spacing w:val="3"/>
                                <w:sz w:val="31"/>
                                <w:szCs w:val="31"/>
                                <w:lang w:eastAsia="zh-CN"/>
                              </w:rPr>
                              <w:t>启东市</w:t>
                            </w:r>
                            <w:r>
                              <w:rPr>
                                <w:rFonts w:ascii="仿宋" w:hAnsi="仿宋" w:eastAsia="仿宋" w:cs="仿宋"/>
                                <w:spacing w:val="3"/>
                                <w:sz w:val="31"/>
                                <w:szCs w:val="31"/>
                              </w:rPr>
                              <w:t>财政局</w:t>
                            </w:r>
                          </w:p>
                        </w:txbxContent>
                      </wps:txbx>
                      <wps:bodyPr lIns="0" tIns="0" rIns="0" bIns="0" upright="0"/>
                    </wps:wsp>
                  </a:graphicData>
                </a:graphic>
              </wp:anchor>
            </w:drawing>
          </mc:Choice>
          <mc:Fallback>
            <w:pict>
              <v:shape id="_x0000_s1026" o:spid="_x0000_s1026" o:spt="202" type="#_x0000_t202" style="position:absolute;left:0pt;margin-left:33pt;margin-top:4.15pt;height:20.75pt;width:96pt;z-index:251659264;mso-width-relative:page;mso-height-relative:page;" filled="f" stroked="f" coordsize="21600,21600" o:gfxdata="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lpahW1gAAAAcBAAAPAAAAAAAAAAEAIAAAACIAAABkcnMvZG93bnJldi54bWxQSwECFAAU&#10;AAAACACHTuJAmnCzeLoBAAByAwAADgAAAAAAAAABACAAAAAlAQAAZHJzL2Uyb0RvYy54bWxQSwUG&#10;AAAAAAYABgBZAQAAUQUAAAAA&#10;">
                <v:fill on="f" focussize="0,0"/>
                <v:stroke on="f"/>
                <v:imagedata o:title=""/>
                <o:lock v:ext="edit" aspectratio="f"/>
                <v:textbox inset="0mm,0mm,0mm,0mm">
                  <w:txbxContent>
                    <w:p>
                      <w:pPr>
                        <w:spacing w:before="20" w:line="223" w:lineRule="auto"/>
                        <w:ind w:left="20"/>
                        <w:rPr>
                          <w:rFonts w:ascii="仿宋" w:hAnsi="仿宋" w:eastAsia="仿宋" w:cs="仿宋"/>
                          <w:sz w:val="31"/>
                          <w:szCs w:val="31"/>
                        </w:rPr>
                      </w:pPr>
                      <w:r>
                        <w:rPr>
                          <w:rFonts w:hint="eastAsia" w:ascii="仿宋" w:hAnsi="仿宋" w:eastAsia="仿宋" w:cs="仿宋"/>
                          <w:spacing w:val="3"/>
                          <w:sz w:val="31"/>
                          <w:szCs w:val="31"/>
                          <w:lang w:eastAsia="zh-CN"/>
                        </w:rPr>
                        <w:t>启东市</w:t>
                      </w:r>
                      <w:r>
                        <w:rPr>
                          <w:rFonts w:ascii="仿宋" w:hAnsi="仿宋" w:eastAsia="仿宋" w:cs="仿宋"/>
                          <w:spacing w:val="3"/>
                          <w:sz w:val="31"/>
                          <w:szCs w:val="31"/>
                        </w:rPr>
                        <w:t>财政局</w:t>
                      </w:r>
                    </w:p>
                  </w:txbxContent>
                </v:textbox>
              </v:shape>
            </w:pict>
          </mc:Fallback>
        </mc:AlternateContent>
      </w:r>
      <w:r>
        <w:rPr>
          <w:rFonts w:hint="eastAsia" w:ascii="仿宋_GB2312" w:hAnsi="仿宋_GB2312" w:eastAsia="仿宋_GB2312" w:cs="仿宋_GB2312"/>
          <w:spacing w:val="0"/>
          <w:position w:val="0"/>
          <w:sz w:val="32"/>
          <w:szCs w:val="32"/>
          <w:lang w:eastAsia="zh-CN"/>
        </w:rPr>
        <w:t>启东市</w:t>
      </w:r>
      <w:r>
        <w:rPr>
          <w:rFonts w:hint="eastAsia" w:ascii="仿宋_GB2312" w:hAnsi="仿宋_GB2312" w:eastAsia="仿宋_GB2312" w:cs="仿宋_GB2312"/>
          <w:spacing w:val="0"/>
          <w:position w:val="0"/>
          <w:sz w:val="32"/>
          <w:szCs w:val="32"/>
        </w:rPr>
        <w:t>乡村振兴局</w:t>
      </w: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pStyle w:val="2"/>
        <w:keepNext w:val="0"/>
        <w:keepLines w:val="0"/>
        <w:pageBreakBefore w:val="0"/>
        <w:wordWrap/>
        <w:overflowPunct/>
        <w:topLinePunct w:val="0"/>
        <w:bidi w:val="0"/>
        <w:spacing w:after="0" w:line="560" w:lineRule="exact"/>
        <w:ind w:left="0" w:firstLine="640" w:firstLineChars="200"/>
        <w:jc w:val="both"/>
        <w:rPr>
          <w:rFonts w:hint="eastAsia" w:ascii="仿宋_GB2312" w:hAnsi="仿宋_GB2312" w:eastAsia="仿宋_GB2312" w:cs="仿宋_GB2312"/>
          <w:color w:val="auto"/>
          <w:spacing w:val="0"/>
          <w:position w:val="0"/>
          <w:sz w:val="32"/>
          <w:szCs w:val="32"/>
          <w:highlight w:val="none"/>
        </w:rPr>
      </w:pPr>
    </w:p>
    <w:p>
      <w:pPr>
        <w:keepNext w:val="0"/>
        <w:keepLines w:val="0"/>
        <w:pageBreakBefore w:val="0"/>
        <w:wordWrap/>
        <w:overflowPunct/>
        <w:topLinePunct w:val="0"/>
        <w:bidi w:val="0"/>
        <w:spacing w:line="560" w:lineRule="exact"/>
        <w:ind w:firstLine="5760" w:firstLineChars="1800"/>
        <w:jc w:val="both"/>
        <w:rPr>
          <w:rFonts w:hint="eastAsia" w:ascii="仿宋_GB2312" w:hAnsi="仿宋_GB2312" w:eastAsia="仿宋_GB2312" w:cs="仿宋_GB2312"/>
          <w:color w:val="auto"/>
          <w:spacing w:val="0"/>
          <w:position w:val="0"/>
          <w:sz w:val="32"/>
          <w:szCs w:val="32"/>
          <w:highlight w:val="none"/>
        </w:rPr>
      </w:pPr>
      <w:r>
        <w:rPr>
          <w:rFonts w:hint="eastAsia" w:ascii="仿宋_GB2312" w:hAnsi="仿宋_GB2312" w:eastAsia="仿宋_GB2312" w:cs="仿宋_GB2312"/>
          <w:color w:val="auto"/>
          <w:spacing w:val="0"/>
          <w:position w:val="0"/>
          <w:sz w:val="32"/>
          <w:szCs w:val="32"/>
          <w:highlight w:val="none"/>
        </w:rPr>
        <w:t>2023年</w:t>
      </w:r>
      <w:r>
        <w:rPr>
          <w:rFonts w:hint="eastAsia" w:ascii="仿宋_GB2312" w:hAnsi="仿宋_GB2312" w:eastAsia="仿宋_GB2312" w:cs="仿宋_GB2312"/>
          <w:color w:val="auto"/>
          <w:spacing w:val="0"/>
          <w:position w:val="0"/>
          <w:sz w:val="32"/>
          <w:szCs w:val="32"/>
          <w:highlight w:val="none"/>
          <w:lang w:val="en-US" w:eastAsia="zh-CN"/>
        </w:rPr>
        <w:t>11</w:t>
      </w:r>
      <w:r>
        <w:rPr>
          <w:rFonts w:hint="eastAsia" w:ascii="仿宋_GB2312" w:hAnsi="仿宋_GB2312" w:eastAsia="仿宋_GB2312" w:cs="仿宋_GB2312"/>
          <w:color w:val="auto"/>
          <w:spacing w:val="0"/>
          <w:position w:val="0"/>
          <w:sz w:val="32"/>
          <w:szCs w:val="32"/>
          <w:highlight w:val="none"/>
        </w:rPr>
        <w:t>月</w:t>
      </w:r>
      <w:r>
        <w:rPr>
          <w:rFonts w:hint="eastAsia" w:ascii="仿宋_GB2312" w:hAnsi="仿宋_GB2312" w:eastAsia="仿宋_GB2312" w:cs="仿宋_GB2312"/>
          <w:color w:val="auto"/>
          <w:spacing w:val="0"/>
          <w:position w:val="0"/>
          <w:sz w:val="32"/>
          <w:szCs w:val="32"/>
          <w:highlight w:val="none"/>
          <w:lang w:val="en-US" w:eastAsia="zh-CN"/>
        </w:rPr>
        <w:t>1</w:t>
      </w:r>
      <w:r>
        <w:rPr>
          <w:rFonts w:hint="eastAsia" w:ascii="仿宋_GB2312" w:hAnsi="仿宋_GB2312" w:eastAsia="仿宋_GB2312" w:cs="仿宋_GB2312"/>
          <w:color w:val="auto"/>
          <w:spacing w:val="0"/>
          <w:position w:val="0"/>
          <w:sz w:val="32"/>
          <w:szCs w:val="32"/>
          <w:highlight w:val="none"/>
        </w:rPr>
        <w:t>日</w:t>
      </w: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p>
      <w:pPr>
        <w:pStyle w:val="2"/>
        <w:rPr>
          <w:rFonts w:hint="eastAsia" w:ascii="仿宋_GB2312" w:hAnsi="仿宋_GB2312" w:eastAsia="仿宋_GB2312" w:cs="仿宋_GB2312"/>
          <w:color w:val="auto"/>
          <w:spacing w:val="0"/>
          <w:position w:val="0"/>
          <w:sz w:val="32"/>
          <w:szCs w:val="32"/>
          <w:highlight w:val="none"/>
        </w:rPr>
      </w:pPr>
    </w:p>
    <w:sectPr>
      <w:footerReference r:id="rId5" w:type="default"/>
      <w:pgSz w:w="11900" w:h="16820"/>
      <w:pgMar w:top="2098" w:right="1474" w:bottom="1984" w:left="1588" w:header="1020" w:footer="1474" w:gutter="0"/>
      <w:pgNumType w:fmt="numberInDash"/>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AC46FDC-E054-4918-88D0-942774F9AD85}"/>
  </w:font>
  <w:font w:name="黑体">
    <w:panose1 w:val="02010609060101010101"/>
    <w:charset w:val="86"/>
    <w:family w:val="auto"/>
    <w:pitch w:val="default"/>
    <w:sig w:usb0="800002BF" w:usb1="38CF7CFA" w:usb2="00000016" w:usb3="00000000" w:csb0="00040001" w:csb1="00000000"/>
    <w:embedRegular r:id="rId2" w:fontKey="{D9D4BA40-224F-4A39-B35F-C967588A50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3" w:fontKey="{57479ACC-A7A7-4920-B7C5-D8C151C53731}"/>
  </w:font>
  <w:font w:name="仿宋_GB2312">
    <w:panose1 w:val="02010609030101010101"/>
    <w:charset w:val="86"/>
    <w:family w:val="auto"/>
    <w:pitch w:val="default"/>
    <w:sig w:usb0="00000001" w:usb1="080E0000" w:usb2="00000000" w:usb3="00000000" w:csb0="00040000" w:csb1="00000000"/>
    <w:embedRegular r:id="rId4" w:fontKey="{9F473C67-B3AB-48A7-ADD0-27B9FAF8EBE3}"/>
  </w:font>
  <w:font w:name="楷体_GB2312">
    <w:panose1 w:val="02010609030101010101"/>
    <w:charset w:val="86"/>
    <w:family w:val="auto"/>
    <w:pitch w:val="default"/>
    <w:sig w:usb0="00000001" w:usb1="080E0000" w:usb2="00000000" w:usb3="00000000" w:csb0="00040000" w:csb1="00000000"/>
    <w:embedRegular r:id="rId5" w:fontKey="{FF9B3EFD-957F-45CC-94CF-8B542E984279}"/>
  </w:font>
  <w:font w:name="仿宋">
    <w:panose1 w:val="02010609060101010101"/>
    <w:charset w:val="86"/>
    <w:family w:val="auto"/>
    <w:pitch w:val="default"/>
    <w:sig w:usb0="800002BF" w:usb1="38CF7CFA" w:usb2="00000016" w:usb3="00000000" w:csb0="00040001" w:csb1="00000000"/>
    <w:embedRegular r:id="rId6" w:fontKey="{A81FB0A6-8D61-4C99-AF7F-56D60603504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NlOWQ3YTZlMmEzMDEwYWFkYTU0MDQ4MmI5YzNiNDMifQ=="/>
  </w:docVars>
  <w:rsids>
    <w:rsidRoot w:val="00000000"/>
    <w:rsid w:val="029472E3"/>
    <w:rsid w:val="0E4167EC"/>
    <w:rsid w:val="0EA20943"/>
    <w:rsid w:val="12F43B75"/>
    <w:rsid w:val="160C38E8"/>
    <w:rsid w:val="1AFE6CB6"/>
    <w:rsid w:val="1B61715F"/>
    <w:rsid w:val="1D743279"/>
    <w:rsid w:val="1D840CEA"/>
    <w:rsid w:val="1E7416EA"/>
    <w:rsid w:val="1F63358C"/>
    <w:rsid w:val="208B36EE"/>
    <w:rsid w:val="25D0138E"/>
    <w:rsid w:val="262B1A22"/>
    <w:rsid w:val="28125B4F"/>
    <w:rsid w:val="2CA921A0"/>
    <w:rsid w:val="2E776D6C"/>
    <w:rsid w:val="2F7610B9"/>
    <w:rsid w:val="30560BC5"/>
    <w:rsid w:val="324F1DCD"/>
    <w:rsid w:val="38265C2B"/>
    <w:rsid w:val="386A108F"/>
    <w:rsid w:val="39A4289E"/>
    <w:rsid w:val="3A1E61E9"/>
    <w:rsid w:val="3BE73F4E"/>
    <w:rsid w:val="3C78100C"/>
    <w:rsid w:val="3D0E65E1"/>
    <w:rsid w:val="42541DA4"/>
    <w:rsid w:val="45CC3389"/>
    <w:rsid w:val="47B708B6"/>
    <w:rsid w:val="484822A4"/>
    <w:rsid w:val="492F0F66"/>
    <w:rsid w:val="4CA94456"/>
    <w:rsid w:val="4D7777AE"/>
    <w:rsid w:val="4E327D84"/>
    <w:rsid w:val="5644465D"/>
    <w:rsid w:val="5AC95C92"/>
    <w:rsid w:val="5BBB6A70"/>
    <w:rsid w:val="5D683540"/>
    <w:rsid w:val="5E0E2A29"/>
    <w:rsid w:val="5EAC6A18"/>
    <w:rsid w:val="5EEE5CC7"/>
    <w:rsid w:val="60025813"/>
    <w:rsid w:val="61E17C5B"/>
    <w:rsid w:val="62EE3C5C"/>
    <w:rsid w:val="696A4AE4"/>
    <w:rsid w:val="697D7C9D"/>
    <w:rsid w:val="698A1023"/>
    <w:rsid w:val="6B815532"/>
    <w:rsid w:val="6BD73FE9"/>
    <w:rsid w:val="71C132A7"/>
    <w:rsid w:val="74424F64"/>
    <w:rsid w:val="77163BB5"/>
    <w:rsid w:val="77183DD1"/>
    <w:rsid w:val="7AF45447"/>
    <w:rsid w:val="7C95557C"/>
    <w:rsid w:val="7D9341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3">
    <w:name w:val="Normal Indent"/>
    <w:basedOn w:val="1"/>
    <w:unhideWhenUsed/>
    <w:qFormat/>
    <w:uiPriority w:val="99"/>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1788</Words>
  <Characters>1828</Characters>
  <TotalTime>34</TotalTime>
  <ScaleCrop>false</ScaleCrop>
  <LinksUpToDate>false</LinksUpToDate>
  <CharactersWithSpaces>1844</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2023-09-21T17:29:00Z</dcterms:created>
  <dc:creator>Kingsoft-PDF</dc:creator>
  <cp:lastModifiedBy>王英</cp:lastModifiedBy>
  <cp:lastPrinted>2023-11-01T07:59:27Z</cp:lastPrinted>
  <dcterms:modified xsi:type="dcterms:W3CDTF">2023-11-01T08:00:03Z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2023-09-21T17:29:06Z</vt:filetime>
  </property>
  <property fmtid="{D5CDD505-2E9C-101B-9397-08002B2CF9AE}" pid="4" name="UsrData">
    <vt:lpwstr>650c0cdd2e6f9d001fc04ef3wl</vt:lpwstr>
  </property>
  <property fmtid="{D5CDD505-2E9C-101B-9397-08002B2CF9AE}" pid="5" name="KSOProductBuildVer">
    <vt:lpwstr>2052-11.1.0.14309</vt:lpwstr>
  </property>
  <property fmtid="{D5CDD505-2E9C-101B-9397-08002B2CF9AE}" pid="6" name="ICV">
    <vt:lpwstr>F7CE2A95B50F421485E3C34D09DE8DE9_13</vt:lpwstr>
  </property>
</Properties>
</file>