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80" w:lineRule="exact"/>
        <w:ind w:firstLine="0"/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扩大实施缓缴政策的困难行业名单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农副食品加工业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纺织业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纺织服装、服饰业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造纸和纸制品业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印刷和记录媒介复制业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医药制造业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化学纤维制造业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橡胶和塑料制品业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通用设备制造业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汽车制造业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铁路、船舶、航空航天和其他运输设备制造业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仪器仪表制造业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社会工作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广播、电视、电影和录音制作业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文化艺术业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体育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</w:rPr>
        <w:t>娱乐业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3YjNlMTkyYzA0NzQ5NDdjNDAxMmYwMmM1NWFmNzEifQ=="/>
  </w:docVars>
  <w:rsids>
    <w:rsidRoot w:val="713A1BDD"/>
    <w:rsid w:val="713A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2022-06-13T08:43:00Z</dcterms:created>
  <dc:creator>三只猫</dc:creator>
  <cp:lastModifiedBy>三只猫</cp:lastModifiedBy>
  <dcterms:modified xsi:type="dcterms:W3CDTF">2022-06-13T08:43:18Z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3067B4FCF849452DB9AA8648B7D54FB0</vt:lpwstr>
  </property>
</Properties>
</file>